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F8" w:rsidRDefault="00F3211B" w:rsidP="004A320F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D07DB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б изменении (корректировке) эмитентом информации, содержащейся в ранее опубликованном им в ленте новостей сообщении</w:t>
      </w:r>
    </w:p>
    <w:p w:rsidR="00C24CF2" w:rsidRDefault="00C24CF2" w:rsidP="004A320F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36"/>
      </w:tblGrid>
      <w:tr w:rsidR="00F3211B" w:rsidRPr="00F3211B" w:rsidTr="00D154CA">
        <w:trPr>
          <w:cantSplit/>
        </w:trPr>
        <w:tc>
          <w:tcPr>
            <w:tcW w:w="9100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7E4084" w:rsidRPr="00F3211B" w:rsidTr="00D154CA">
        <w:tc>
          <w:tcPr>
            <w:tcW w:w="4564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36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Кабардино-Балкарское публичное акционерное общество энергетики и электрификации</w:t>
            </w:r>
          </w:p>
        </w:tc>
      </w:tr>
      <w:tr w:rsidR="007E4084" w:rsidRPr="00F3211B" w:rsidTr="00D154CA">
        <w:tc>
          <w:tcPr>
            <w:tcW w:w="4564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536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ПАО «Каббалкэнерго»</w:t>
            </w:r>
          </w:p>
        </w:tc>
      </w:tr>
      <w:tr w:rsidR="007E4084" w:rsidRPr="00F3211B" w:rsidTr="00D154CA">
        <w:tc>
          <w:tcPr>
            <w:tcW w:w="4564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536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59AF">
              <w:rPr>
                <w:rFonts w:ascii="Times New Roman" w:hAnsi="Times New Roman" w:cs="Times New Roman"/>
                <w:sz w:val="24"/>
                <w:szCs w:val="24"/>
              </w:rPr>
              <w:t>абардино-Балкарская Республика,</w:t>
            </w:r>
            <w:r w:rsidR="004259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</w:tc>
      </w:tr>
      <w:tr w:rsidR="007E4084" w:rsidRPr="00F3211B" w:rsidTr="00D154CA">
        <w:tc>
          <w:tcPr>
            <w:tcW w:w="4564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536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1020700746901</w:t>
            </w:r>
          </w:p>
        </w:tc>
      </w:tr>
      <w:tr w:rsidR="007E4084" w:rsidRPr="00F3211B" w:rsidTr="00D154CA">
        <w:tc>
          <w:tcPr>
            <w:tcW w:w="4564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536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0711008455</w:t>
            </w:r>
          </w:p>
        </w:tc>
      </w:tr>
      <w:tr w:rsidR="007E4084" w:rsidRPr="00F3211B" w:rsidTr="00D154CA">
        <w:tc>
          <w:tcPr>
            <w:tcW w:w="4564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36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00233-A</w:t>
            </w:r>
          </w:p>
        </w:tc>
      </w:tr>
      <w:tr w:rsidR="007E4084" w:rsidRPr="00F3211B" w:rsidTr="00D154CA">
        <w:tc>
          <w:tcPr>
            <w:tcW w:w="4564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36" w:type="dxa"/>
          </w:tcPr>
          <w:p w:rsidR="007E4084" w:rsidRPr="007E4084" w:rsidRDefault="009B0A25" w:rsidP="007E4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E4084" w:rsidRPr="007E4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http://disclosure.skrin.ru/disclosure/0711008455</w:t>
              </w:r>
            </w:hyperlink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F3211B" w:rsidRPr="00F3211B" w:rsidTr="00D154CA">
        <w:tc>
          <w:tcPr>
            <w:tcW w:w="9100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D154CA">
        <w:trPr>
          <w:trHeight w:val="7928"/>
        </w:trPr>
        <w:tc>
          <w:tcPr>
            <w:tcW w:w="9100" w:type="dxa"/>
          </w:tcPr>
          <w:p w:rsidR="00D07DB8" w:rsidRPr="00D07DB8" w:rsidRDefault="00D07DB8" w:rsidP="00D07DB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D154CA" w:rsidRDefault="00D07DB8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ранее опубликованное сообщение (тип сообщения – сообщение о существенном факте «</w:t>
            </w:r>
            <w:r w:rsidR="00425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4259AF" w:rsidRPr="00425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 отдельных решениях, принятых советом директоров (наблюдательным советом) 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»; опубликовано </w:t>
            </w:r>
            <w:r w:rsidR="00425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16.06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425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16:18:24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информация в котором изменяетс</w:t>
            </w:r>
            <w:r w:rsidR="00D154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(корректируется):</w:t>
            </w:r>
          </w:p>
          <w:p w:rsidR="00D07DB8" w:rsidRDefault="009B0A25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259AF" w:rsidRPr="004259AF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http://disclosure.skrin.ru/ShowMessage.asp?id=4&amp;eid=136644&amp;agency=7&amp;DTI=5</w:t>
              </w:r>
            </w:hyperlink>
            <w:r w:rsidR="007E4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4084" w:rsidRDefault="007E4084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7DB8" w:rsidRDefault="00D07DB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внесенных изменений</w:t>
            </w:r>
            <w:r w:rsidR="000031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31FA" w:rsidRDefault="000031F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259AF" w:rsidRDefault="007C6DE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Скорректирован</w:t>
            </w:r>
            <w:proofErr w:type="gramEnd"/>
            <w:r w:rsidR="00425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5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425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2.1.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части информации о количестве членов совета директоров, принявших участие в заседании, а также</w:t>
            </w:r>
            <w:r w:rsidR="006A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6A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голосования</w:t>
            </w:r>
            <w:r w:rsidR="00425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1FA" w:rsidRDefault="000031F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259AF" w:rsidRDefault="000031F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2.2. сообщения </w:t>
            </w:r>
            <w:r w:rsidR="00BE14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скорректирована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формулировка принятого решения по вопросу № 8 </w:t>
            </w:r>
            <w:r w:rsidR="004259AF" w:rsidRPr="00425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повестки дня заседания совета директоров</w:t>
            </w:r>
            <w:r w:rsidR="00425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части </w:t>
            </w:r>
            <w:r w:rsidR="00E44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нумерации</w:t>
            </w:r>
            <w:r w:rsidR="00425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приложени</w:t>
            </w:r>
            <w:r w:rsidR="00E44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425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6A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решению совета директоров</w:t>
            </w:r>
            <w:r w:rsidR="00425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Полный текст публикуемого сообщения с учетом внесенных изменений:</w:t>
            </w: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259AF" w:rsidRPr="004259AF" w:rsidRDefault="004259AF" w:rsidP="0042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Сообщение о существенном факте</w:t>
            </w:r>
          </w:p>
          <w:p w:rsidR="004259AF" w:rsidRPr="004259AF" w:rsidRDefault="004259AF" w:rsidP="0042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отдельных решениях, принятых советом директоров эмитента»</w:t>
            </w:r>
          </w:p>
          <w:p w:rsidR="004259AF" w:rsidRPr="004259AF" w:rsidRDefault="004259AF" w:rsidP="0042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715" w:type="dxa"/>
              <w:tblInd w:w="137" w:type="dxa"/>
              <w:tblLayout w:type="fixed"/>
              <w:tblLook w:val="00A0" w:firstRow="1" w:lastRow="0" w:firstColumn="1" w:lastColumn="0" w:noHBand="0" w:noVBand="0"/>
            </w:tblPr>
            <w:tblGrid>
              <w:gridCol w:w="3827"/>
              <w:gridCol w:w="4888"/>
            </w:tblGrid>
            <w:tr w:rsidR="004259AF" w:rsidRPr="004259AF" w:rsidTr="007C6DEB">
              <w:trPr>
                <w:trHeight w:val="49"/>
              </w:trPr>
              <w:tc>
                <w:tcPr>
                  <w:tcW w:w="87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AF" w:rsidRPr="004259AF" w:rsidRDefault="004259AF" w:rsidP="004259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Общие сведения</w:t>
                  </w:r>
                </w:p>
              </w:tc>
            </w:tr>
            <w:tr w:rsidR="004259AF" w:rsidRPr="004259AF" w:rsidTr="007C6DEB">
              <w:trPr>
                <w:trHeight w:val="198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 Полное фирменное наименование эмитента (для некоммерческой организации – наименование)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Кабардино-Балкарское публичное акционерное общество энергетики и электрификации</w:t>
                  </w:r>
                </w:p>
              </w:tc>
            </w:tr>
            <w:tr w:rsidR="004259AF" w:rsidRPr="004259AF" w:rsidTr="007C6DEB">
              <w:trPr>
                <w:trHeight w:val="100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1.2. Сокращенное фирменное наименование эмитента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ПАО «Каббалкэнерго»</w:t>
                  </w:r>
                </w:p>
              </w:tc>
            </w:tr>
            <w:tr w:rsidR="004259AF" w:rsidRPr="004259AF" w:rsidTr="007C6DEB">
              <w:trPr>
                <w:trHeight w:val="49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1.3. Место нахождения эмитента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AF" w:rsidRPr="004259AF" w:rsidRDefault="004259AF" w:rsidP="004259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Кабардино-Балкарская Республика, </w:t>
                  </w: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г. Нальчик</w:t>
                  </w:r>
                </w:p>
              </w:tc>
            </w:tr>
            <w:tr w:rsidR="004259AF" w:rsidRPr="004259AF" w:rsidTr="007C6DEB">
              <w:trPr>
                <w:trHeight w:val="49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1.4. ОГРН эмитента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1020700746901</w:t>
                  </w:r>
                </w:p>
              </w:tc>
            </w:tr>
            <w:tr w:rsidR="004259AF" w:rsidRPr="004259AF" w:rsidTr="007C6DEB">
              <w:trPr>
                <w:trHeight w:val="49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1.5. ИНН эмитента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0711008455</w:t>
                  </w:r>
                </w:p>
              </w:tc>
            </w:tr>
            <w:tr w:rsidR="004259AF" w:rsidRPr="004259AF" w:rsidTr="007C6DEB">
              <w:trPr>
                <w:trHeight w:val="149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1.6. Уникальный код эмитента, присвоенный регистрирующим органом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00233-A</w:t>
                  </w:r>
                </w:p>
              </w:tc>
            </w:tr>
            <w:tr w:rsidR="004259AF" w:rsidRPr="004259AF" w:rsidTr="007C6DEB">
              <w:trPr>
                <w:trHeight w:val="198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1.7. 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AF" w:rsidRPr="004259AF" w:rsidRDefault="009B0A25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4259AF" w:rsidRPr="004259A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http://disclosure.skrin.ru/disclosure/0711008455</w:t>
                    </w:r>
                  </w:hyperlink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59AF" w:rsidRPr="004259AF" w:rsidTr="007C6DEB">
              <w:trPr>
                <w:trHeight w:val="49"/>
              </w:trPr>
              <w:tc>
                <w:tcPr>
                  <w:tcW w:w="8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59AF" w:rsidRPr="004259AF" w:rsidTr="007C6DEB">
              <w:trPr>
                <w:trHeight w:val="49"/>
              </w:trPr>
              <w:tc>
                <w:tcPr>
                  <w:tcW w:w="87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AF" w:rsidRPr="004259AF" w:rsidRDefault="004259AF" w:rsidP="004259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Содержание сообщения</w:t>
                  </w:r>
                </w:p>
              </w:tc>
            </w:tr>
            <w:tr w:rsidR="004259AF" w:rsidRPr="004259AF" w:rsidTr="007C6DEB">
              <w:trPr>
                <w:trHeight w:val="2002"/>
              </w:trPr>
              <w:tc>
                <w:tcPr>
                  <w:tcW w:w="87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2.1. Кворум заседания совета директоров эмитента – приняли участие </w:t>
                  </w:r>
                  <w:r w:rsidR="007C6D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членов совета директоров из 7, кворум имеется.</w:t>
                  </w: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Результаты голосования по вопросам о принятии решений:</w:t>
                  </w: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вопрос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 5 повестки дня заседания совета директоров:</w:t>
                  </w: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Голосовали «ЗА»: </w:t>
                  </w:r>
                  <w:r w:rsidR="00596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человек</w:t>
                  </w:r>
                  <w:r w:rsidR="00596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«ПРОТИВ»: нет, «ВОЗДЕРЖАЛСЯ»: нет</w:t>
                  </w:r>
                </w:p>
                <w:p w:rsidR="00596557" w:rsidRDefault="00596557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65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Решение по указанному вопросу повестки дня принято большинством голосов директоров, незаинтересованных в совершении сделки.</w:t>
                  </w:r>
                </w:p>
                <w:p w:rsidR="00596557" w:rsidRPr="00596557" w:rsidRDefault="00596557" w:rsidP="005965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65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По вопросу №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Pr="005965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повестки дня заседания совета директоров:</w:t>
                  </w:r>
                </w:p>
                <w:p w:rsidR="00596557" w:rsidRDefault="00596557" w:rsidP="005965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65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Голосовали «ЗА»: </w:t>
                  </w:r>
                  <w:r w:rsidR="00E44B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bookmarkStart w:id="0" w:name="_GoBack"/>
                  <w:bookmarkEnd w:id="0"/>
                  <w:r w:rsidRPr="005965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человек, «ПРОТИВ»: нет, «ВОЗДЕРЖАЛСЯ»: нет</w:t>
                  </w: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Решени</w:t>
                  </w:r>
                  <w:r w:rsidR="005965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4259A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по указанн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ому вопросу</w:t>
                  </w:r>
                  <w:r w:rsidRPr="004259A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повестки дня принят</w:t>
                  </w:r>
                  <w:r w:rsidR="005965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Pr="004259A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единогласно.</w:t>
                  </w: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 Содержание решений, принятых советом директоров эмитента:</w:t>
                  </w: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вопросу № 5 «</w:t>
                  </w: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одобрении договора купли-продажи приборов учета между ПАО «Каббалкэнерго» и ПАО «МРСК Северного Кавказа», являющегося сделкой, в совершении которой имеется заинтересованность</w:t>
                  </w: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»:</w:t>
                  </w: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4259AF" w:rsidRPr="004259AF" w:rsidRDefault="004259AF" w:rsidP="0059655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460"/>
                    </w:tabs>
                    <w:spacing w:after="0" w:line="240" w:lineRule="auto"/>
                    <w:ind w:left="34" w:right="-5" w:firstLine="0"/>
                    <w:jc w:val="both"/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259AF"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Определить цену договора купли-продажи приборов учета (далее – Договор) между </w:t>
                  </w:r>
                  <w:r w:rsidRPr="004259AF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>ПАО «Каббалкэнерго» и ПАО «МРСК Северного Кавказа»</w:t>
                  </w:r>
                  <w:r w:rsidRPr="004259AF"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  <w:t>, являющегося сделкой, в совершении которой имеется заинтересованность, в размере 2 244 000 (Два миллиона двести сорок четыре тысячи) рублей 00 копеек, в том числе НДС (18%) 342 305 (Триста сорок две тысячи триста пять) рублей 08 копеек.</w:t>
                  </w:r>
                  <w:proofErr w:type="gramEnd"/>
                </w:p>
                <w:p w:rsidR="004259AF" w:rsidRPr="004259AF" w:rsidRDefault="004259AF" w:rsidP="0059655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460"/>
                    </w:tabs>
                    <w:spacing w:after="0" w:line="240" w:lineRule="auto"/>
                    <w:ind w:left="34" w:right="-5" w:firstLine="0"/>
                    <w:jc w:val="both"/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259AF"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  <w:t>Одобрить Договор между ПАО «Каббалкэнерго» и ПАО «МРСК Северного Кавказа», являющийся сделкой, в совершении которой имеется заинтересованность, на следующих существенных условиях:</w:t>
                  </w:r>
                </w:p>
                <w:p w:rsidR="004259AF" w:rsidRPr="004259AF" w:rsidRDefault="004259AF" w:rsidP="004259A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259AF"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  <w:t>Стороны Договора:</w:t>
                  </w:r>
                </w:p>
                <w:p w:rsidR="004259AF" w:rsidRPr="004259AF" w:rsidRDefault="004259AF" w:rsidP="004259A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259AF"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  <w:t>ПАО «Каббалкэнерго» – Продавец</w:t>
                  </w:r>
                </w:p>
                <w:p w:rsidR="004259AF" w:rsidRPr="004259AF" w:rsidRDefault="004259AF" w:rsidP="004259A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259AF"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  <w:t>ПАО «МРСК Северного Кавказа» – Покупатель</w:t>
                  </w:r>
                </w:p>
                <w:p w:rsidR="004259AF" w:rsidRPr="004259AF" w:rsidRDefault="004259AF" w:rsidP="004259A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259AF"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  <w:t>Предмет Договора:</w:t>
                  </w:r>
                </w:p>
                <w:p w:rsidR="004259AF" w:rsidRPr="004259AF" w:rsidRDefault="004259AF" w:rsidP="004259AF">
                  <w:pPr>
                    <w:tabs>
                      <w:tab w:val="left" w:pos="709"/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Продавец обязуется передать в собственность Покупателя, а Покупатель надлежащим образом принять и оплатить следующую продукцию:</w:t>
                  </w:r>
                </w:p>
                <w:tbl>
                  <w:tblPr>
                    <w:tblW w:w="8517" w:type="dxa"/>
                    <w:tblInd w:w="1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2"/>
                    <w:gridCol w:w="1624"/>
                    <w:gridCol w:w="2127"/>
                    <w:gridCol w:w="567"/>
                    <w:gridCol w:w="567"/>
                    <w:gridCol w:w="1417"/>
                    <w:gridCol w:w="1843"/>
                  </w:tblGrid>
                  <w:tr w:rsidR="004259AF" w:rsidRPr="004259AF" w:rsidTr="00083214">
                    <w:trPr>
                      <w:trHeight w:val="77"/>
                    </w:trPr>
                    <w:tc>
                      <w:tcPr>
                        <w:tcW w:w="3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259AF" w:rsidRPr="004259AF" w:rsidRDefault="004259AF" w:rsidP="004259AF">
                        <w:pPr>
                          <w:spacing w:after="0" w:line="240" w:lineRule="auto"/>
                          <w:ind w:left="-93" w:right="-108" w:hanging="15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59AF" w:rsidRPr="004259AF" w:rsidRDefault="004259AF" w:rsidP="004259AF">
                        <w:pPr>
                          <w:spacing w:after="0" w:line="240" w:lineRule="auto"/>
                          <w:ind w:left="-93" w:right="-108" w:hanging="15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Наименование продукции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59AF" w:rsidRPr="004259AF" w:rsidRDefault="004259AF" w:rsidP="004259AF">
                        <w:pPr>
                          <w:spacing w:after="0" w:line="240" w:lineRule="auto"/>
                          <w:ind w:left="-93" w:right="-108" w:hanging="15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Тип, марка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59AF" w:rsidRPr="004259AF" w:rsidRDefault="004259AF" w:rsidP="004259AF">
                        <w:pPr>
                          <w:spacing w:after="0" w:line="240" w:lineRule="auto"/>
                          <w:ind w:left="-93" w:right="-108" w:hanging="15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Ед. 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259AF" w:rsidRPr="004259AF" w:rsidRDefault="004259AF" w:rsidP="004259AF">
                        <w:pPr>
                          <w:spacing w:after="0" w:line="240" w:lineRule="auto"/>
                          <w:ind w:left="-93" w:right="-108" w:hanging="15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259AF" w:rsidRPr="004259AF" w:rsidRDefault="004259AF" w:rsidP="004259AF">
                        <w:pPr>
                          <w:spacing w:after="0" w:line="240" w:lineRule="auto"/>
                          <w:ind w:left="-93" w:right="-108" w:hanging="15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Цена за ед.</w:t>
                        </w:r>
                      </w:p>
                      <w:p w:rsidR="004259AF" w:rsidRPr="004259AF" w:rsidRDefault="004259AF" w:rsidP="004259AF">
                        <w:pPr>
                          <w:spacing w:after="0" w:line="240" w:lineRule="auto"/>
                          <w:ind w:left="-93" w:right="-108" w:hanging="15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(в т.ч. НДС), руб.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9AF" w:rsidRPr="004259AF" w:rsidRDefault="004259AF" w:rsidP="004259AF">
                        <w:pPr>
                          <w:spacing w:after="0" w:line="240" w:lineRule="auto"/>
                          <w:ind w:left="-93" w:right="-108" w:hanging="15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 xml:space="preserve">Стоимость всего </w:t>
                        </w:r>
                      </w:p>
                      <w:p w:rsidR="004259AF" w:rsidRPr="004259AF" w:rsidRDefault="004259AF" w:rsidP="004259AF">
                        <w:pPr>
                          <w:spacing w:after="0" w:line="240" w:lineRule="auto"/>
                          <w:ind w:left="-93" w:right="-108" w:hanging="15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(в т.ч. НДС), руб.</w:t>
                        </w:r>
                      </w:p>
                    </w:tc>
                  </w:tr>
                  <w:tr w:rsidR="004259AF" w:rsidRPr="004259AF" w:rsidTr="00083214">
                    <w:trPr>
                      <w:trHeight w:val="59"/>
                    </w:trPr>
                    <w:tc>
                      <w:tcPr>
                        <w:tcW w:w="3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259AF" w:rsidRPr="004259AF" w:rsidRDefault="004259AF" w:rsidP="004259AF">
                        <w:pPr>
                          <w:spacing w:after="0" w:line="240" w:lineRule="auto"/>
                          <w:ind w:left="-93" w:right="-108" w:hanging="15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259AF" w:rsidRPr="004259AF" w:rsidRDefault="004259AF" w:rsidP="004259AF">
                        <w:pPr>
                          <w:spacing w:after="0" w:line="240" w:lineRule="auto"/>
                          <w:ind w:left="-93" w:right="-108" w:hanging="15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 xml:space="preserve">Прибор учета электроэнергии 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59AF" w:rsidRPr="004259AF" w:rsidRDefault="004259AF" w:rsidP="004259AF">
                        <w:pPr>
                          <w:spacing w:after="0" w:line="240" w:lineRule="auto"/>
                          <w:ind w:left="-93" w:right="-108" w:hanging="15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СЕ 101 S6 145 производства</w:t>
                        </w:r>
                      </w:p>
                      <w:p w:rsidR="004259AF" w:rsidRPr="004259AF" w:rsidRDefault="004259AF" w:rsidP="004259AF">
                        <w:pPr>
                          <w:spacing w:after="0" w:line="240" w:lineRule="auto"/>
                          <w:ind w:left="-93" w:right="-108" w:hanging="15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АО «</w:t>
                        </w:r>
                        <w:proofErr w:type="spellStart"/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Энергомера</w:t>
                        </w:r>
                        <w:proofErr w:type="spellEnd"/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59AF" w:rsidRPr="004259AF" w:rsidRDefault="004259AF" w:rsidP="004259AF">
                        <w:pPr>
                          <w:spacing w:after="0" w:line="240" w:lineRule="auto"/>
                          <w:ind w:left="-93" w:right="-108" w:hanging="15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259AF" w:rsidRPr="004259AF" w:rsidRDefault="004259AF" w:rsidP="004259AF">
                        <w:pPr>
                          <w:spacing w:after="0" w:line="240" w:lineRule="auto"/>
                          <w:ind w:left="-93" w:right="-108" w:hanging="15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3000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259AF" w:rsidRPr="004259AF" w:rsidRDefault="004259AF" w:rsidP="004259AF">
                        <w:pPr>
                          <w:spacing w:after="0" w:line="240" w:lineRule="auto"/>
                          <w:ind w:left="-93" w:right="-108" w:hanging="15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748,00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9AF" w:rsidRPr="004259AF" w:rsidRDefault="004259AF" w:rsidP="004259AF">
                        <w:pPr>
                          <w:spacing w:after="0" w:line="240" w:lineRule="auto"/>
                          <w:ind w:left="-93" w:right="-108" w:hanging="15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AF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2 244 000,00</w:t>
                        </w:r>
                      </w:p>
                    </w:tc>
                  </w:tr>
                </w:tbl>
                <w:p w:rsidR="004259AF" w:rsidRPr="004259AF" w:rsidRDefault="004259AF" w:rsidP="004259A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napToGrid w:val="0"/>
                      <w:spacing w:val="-6"/>
                      <w:sz w:val="24"/>
                      <w:szCs w:val="24"/>
                      <w:lang w:eastAsia="ru-RU"/>
                    </w:rPr>
                    <w:t>Качество и комплектность поставляемой продукции по Договору должны соответствовать техническим условиям завода–изготовителя.</w:t>
                  </w:r>
                </w:p>
                <w:p w:rsidR="004259AF" w:rsidRPr="004259AF" w:rsidRDefault="004259AF" w:rsidP="004259A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259AF"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Цена Договора:</w:t>
                  </w:r>
                </w:p>
                <w:p w:rsidR="004259AF" w:rsidRPr="004259AF" w:rsidRDefault="004259AF" w:rsidP="004259A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259AF"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Общая стоимость поставляемой по Договору продукции составляет 2 244 000 (Два миллиона двести сорок четыре тысячи) рублей 00 копеек, в том числе НДС (18%) 342 305 (Триста сорок две тысячи триста пять) рублей 08 копеек. Указанная стоимость определена с учетом стоимости транспортировки.</w:t>
                  </w:r>
                </w:p>
                <w:p w:rsidR="004259AF" w:rsidRPr="004259AF" w:rsidRDefault="004259AF" w:rsidP="004259AF">
                  <w:pPr>
                    <w:widowControl w:val="0"/>
                    <w:tabs>
                      <w:tab w:val="left" w:pos="927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259AF"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  <w:t>Срок действия Договора:</w:t>
                  </w:r>
                </w:p>
                <w:p w:rsidR="004259AF" w:rsidRPr="004259AF" w:rsidRDefault="004259AF" w:rsidP="004259AF">
                  <w:pPr>
                    <w:widowControl w:val="0"/>
                    <w:tabs>
                      <w:tab w:val="left" w:pos="927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eastAsia="Courier New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59AF">
                    <w:rPr>
                      <w:rFonts w:ascii="Times New Roman" w:eastAsia="Courier New" w:hAnsi="Times New Roman" w:cs="Times New Roman"/>
                      <w:bCs/>
                      <w:sz w:val="24"/>
                      <w:szCs w:val="24"/>
                      <w:lang w:eastAsia="ru-RU"/>
                    </w:rPr>
                    <w:t>Договор вступает в силу с момента его подписания Сторонами и действует до полного исполнения Сторонами обязательств по Договору.</w:t>
                  </w: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По вопросу № 8 «</w:t>
                  </w: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внутреннего документа Общества: Положения о порядке формирования и использования фонда спонсорской поддержки и благотворительности ПАО «Каббалкэнерго»</w:t>
                  </w:r>
                  <w:r w:rsidRPr="004259A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Утвердить Положение о порядке формирования и использования фонда спонсорской поддержки и благотворительности ПАО «Каббалкэнерго» в соответствии с </w:t>
                  </w:r>
                  <w:r w:rsidR="006D163E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п</w:t>
                  </w:r>
                  <w:r w:rsidRPr="004259A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риложением № </w:t>
                  </w:r>
                  <w:r w:rsidR="0059655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Pr="004259A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к настоящему решению Совета директоров.</w:t>
                  </w: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2.3. Дата проведения заседания совета директоров эмитента, на котором приняты соответствующие решения – 15.06.2016.</w:t>
                  </w: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2.4. Дата составления и номер протокола заседания совета директоров эмитента, на котором приняты соответствующие решения – 15.06.2016 № 176.</w:t>
                  </w:r>
                </w:p>
              </w:tc>
            </w:tr>
          </w:tbl>
          <w:p w:rsidR="004259AF" w:rsidRPr="004259AF" w:rsidRDefault="004259AF" w:rsidP="00425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744" w:type="dxa"/>
              <w:tblInd w:w="137" w:type="dxa"/>
              <w:tblLayout w:type="fixed"/>
              <w:tblLook w:val="00A0" w:firstRow="1" w:lastRow="0" w:firstColumn="1" w:lastColumn="0" w:noHBand="0" w:noVBand="0"/>
            </w:tblPr>
            <w:tblGrid>
              <w:gridCol w:w="8744"/>
            </w:tblGrid>
            <w:tr w:rsidR="004259AF" w:rsidRPr="004259AF" w:rsidTr="00D154CA">
              <w:trPr>
                <w:trHeight w:val="236"/>
              </w:trPr>
              <w:tc>
                <w:tcPr>
                  <w:tcW w:w="8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AF" w:rsidRPr="004259AF" w:rsidRDefault="004259AF" w:rsidP="004259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Подпись</w:t>
                  </w:r>
                </w:p>
              </w:tc>
            </w:tr>
            <w:tr w:rsidR="004259AF" w:rsidRPr="004259AF" w:rsidTr="00D154CA">
              <w:trPr>
                <w:trHeight w:val="598"/>
              </w:trPr>
              <w:tc>
                <w:tcPr>
                  <w:tcW w:w="8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557" w:rsidRDefault="004259AF" w:rsidP="005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3.1. Директор Департамента</w:t>
                  </w:r>
                  <w:r w:rsidR="00596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корпоративного</w:t>
                  </w:r>
                </w:p>
                <w:p w:rsidR="004259AF" w:rsidRPr="004259AF" w:rsidRDefault="004259AF" w:rsidP="005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управления</w:t>
                  </w:r>
                  <w:r w:rsidR="00596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взаимодействия с акционерами</w:t>
                  </w:r>
                </w:p>
                <w:p w:rsidR="004259AF" w:rsidRPr="004259AF" w:rsidRDefault="004259AF" w:rsidP="005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ПАО «МРСК Северного Кавказа»</w:t>
                  </w:r>
                </w:p>
                <w:p w:rsidR="004259AF" w:rsidRPr="004259AF" w:rsidRDefault="004259AF" w:rsidP="005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(на основании доверенности от 12.11.2015 №363) ______________</w:t>
                  </w:r>
                  <w:r w:rsidR="00D15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М.Х. Кумукова</w:t>
                  </w: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(подпись)</w:t>
                  </w:r>
                </w:p>
                <w:p w:rsidR="004259AF" w:rsidRPr="004259AF" w:rsidRDefault="004259AF" w:rsidP="00425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3.2. Дата «16» июня 2016 г.                     </w:t>
                  </w:r>
                  <w:r w:rsidR="000832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Pr="00425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М.П.</w:t>
                  </w:r>
                </w:p>
              </w:tc>
            </w:tr>
          </w:tbl>
          <w:p w:rsidR="005F6BB7" w:rsidRPr="00F3211B" w:rsidRDefault="005F6BB7" w:rsidP="005F6BB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F3211B" w:rsidRPr="00F3211B" w:rsidTr="00D154CA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D154CA" w:rsidRPr="00F3211B" w:rsidTr="00D154CA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A" w:rsidRDefault="00D154CA" w:rsidP="00D154C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 Директор Департамента корпоративного</w:t>
            </w:r>
          </w:p>
          <w:p w:rsidR="00D154CA" w:rsidRDefault="00D154CA" w:rsidP="00D154C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взаимодействия с акционерами</w:t>
            </w:r>
          </w:p>
          <w:p w:rsidR="00D154CA" w:rsidRPr="00D154CA" w:rsidRDefault="00D154CA" w:rsidP="00D154C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ПАО «МРСК Северного Кавказа»</w:t>
            </w:r>
          </w:p>
          <w:p w:rsidR="00D154CA" w:rsidRPr="00D154CA" w:rsidRDefault="00D154CA" w:rsidP="00D154C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 363)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_____________ М</w:t>
            </w:r>
            <w:r w:rsidRPr="00D154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.Х. Кумукова</w:t>
            </w:r>
          </w:p>
          <w:p w:rsidR="00D154CA" w:rsidRPr="00D154CA" w:rsidRDefault="00D154CA" w:rsidP="00D154CA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D154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D154CA" w:rsidRPr="00F3211B" w:rsidRDefault="00D154CA" w:rsidP="00D154C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3.2. Дата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154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и</w:t>
            </w:r>
            <w:r w:rsidRPr="00D154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юня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4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4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0832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154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D154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43579B" w:rsidRDefault="0043579B" w:rsidP="00516AAD"/>
    <w:sectPr w:rsidR="0043579B" w:rsidSect="00C24CF2">
      <w:headerReference w:type="default" r:id="rId11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25" w:rsidRDefault="009B0A25" w:rsidP="00C24CF2">
      <w:pPr>
        <w:spacing w:after="0" w:line="240" w:lineRule="auto"/>
      </w:pPr>
      <w:r>
        <w:separator/>
      </w:r>
    </w:p>
  </w:endnote>
  <w:endnote w:type="continuationSeparator" w:id="0">
    <w:p w:rsidR="009B0A25" w:rsidRDefault="009B0A25" w:rsidP="00C2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25" w:rsidRDefault="009B0A25" w:rsidP="00C24CF2">
      <w:pPr>
        <w:spacing w:after="0" w:line="240" w:lineRule="auto"/>
      </w:pPr>
      <w:r>
        <w:separator/>
      </w:r>
    </w:p>
  </w:footnote>
  <w:footnote w:type="continuationSeparator" w:id="0">
    <w:p w:rsidR="009B0A25" w:rsidRDefault="009B0A25" w:rsidP="00C2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84891"/>
      <w:docPartObj>
        <w:docPartGallery w:val="Page Numbers (Top of Page)"/>
        <w:docPartUnique/>
      </w:docPartObj>
    </w:sdtPr>
    <w:sdtEndPr/>
    <w:sdtContent>
      <w:p w:rsidR="00C24CF2" w:rsidRDefault="00C24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B9C">
          <w:rPr>
            <w:noProof/>
          </w:rPr>
          <w:t>2</w:t>
        </w:r>
        <w:r>
          <w:fldChar w:fldCharType="end"/>
        </w:r>
      </w:p>
    </w:sdtContent>
  </w:sdt>
  <w:p w:rsidR="00C24CF2" w:rsidRDefault="00C24C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025D"/>
    <w:multiLevelType w:val="hybridMultilevel"/>
    <w:tmpl w:val="979A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031FA"/>
    <w:rsid w:val="0004146E"/>
    <w:rsid w:val="00083214"/>
    <w:rsid w:val="001676A7"/>
    <w:rsid w:val="001D6343"/>
    <w:rsid w:val="0021661E"/>
    <w:rsid w:val="002A6E27"/>
    <w:rsid w:val="003323F3"/>
    <w:rsid w:val="00396A50"/>
    <w:rsid w:val="004259AF"/>
    <w:rsid w:val="0043579B"/>
    <w:rsid w:val="00471A6F"/>
    <w:rsid w:val="004A1A40"/>
    <w:rsid w:val="004A320F"/>
    <w:rsid w:val="004A7470"/>
    <w:rsid w:val="004B015A"/>
    <w:rsid w:val="00516AAD"/>
    <w:rsid w:val="00596557"/>
    <w:rsid w:val="0059729E"/>
    <w:rsid w:val="005C0893"/>
    <w:rsid w:val="005F6BB7"/>
    <w:rsid w:val="006777B0"/>
    <w:rsid w:val="006A70B3"/>
    <w:rsid w:val="006C5AED"/>
    <w:rsid w:val="006D163E"/>
    <w:rsid w:val="00701D8F"/>
    <w:rsid w:val="00731BD2"/>
    <w:rsid w:val="007C6DEB"/>
    <w:rsid w:val="007E4084"/>
    <w:rsid w:val="008B5A60"/>
    <w:rsid w:val="008D7DE1"/>
    <w:rsid w:val="009B0A25"/>
    <w:rsid w:val="00A23778"/>
    <w:rsid w:val="00B47FB3"/>
    <w:rsid w:val="00BB7219"/>
    <w:rsid w:val="00BE14B5"/>
    <w:rsid w:val="00C20DE8"/>
    <w:rsid w:val="00C24CF2"/>
    <w:rsid w:val="00C44310"/>
    <w:rsid w:val="00C56068"/>
    <w:rsid w:val="00C81017"/>
    <w:rsid w:val="00D07DB8"/>
    <w:rsid w:val="00D154CA"/>
    <w:rsid w:val="00E15092"/>
    <w:rsid w:val="00E44B9C"/>
    <w:rsid w:val="00F1254D"/>
    <w:rsid w:val="00F1451F"/>
    <w:rsid w:val="00F3211B"/>
    <w:rsid w:val="00F736CF"/>
    <w:rsid w:val="00F94E85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7DB8"/>
    <w:rPr>
      <w:color w:val="800080" w:themeColor="followedHyperlink"/>
      <w:u w:val="single"/>
    </w:rPr>
  </w:style>
  <w:style w:type="paragraph" w:customStyle="1" w:styleId="1">
    <w:name w:val="Знак Знак1"/>
    <w:basedOn w:val="a"/>
    <w:rsid w:val="004A3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C2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CF2"/>
  </w:style>
  <w:style w:type="paragraph" w:styleId="a9">
    <w:name w:val="footer"/>
    <w:basedOn w:val="a"/>
    <w:link w:val="aa"/>
    <w:uiPriority w:val="99"/>
    <w:unhideWhenUsed/>
    <w:rsid w:val="00C2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7DB8"/>
    <w:rPr>
      <w:color w:val="800080" w:themeColor="followedHyperlink"/>
      <w:u w:val="single"/>
    </w:rPr>
  </w:style>
  <w:style w:type="paragraph" w:customStyle="1" w:styleId="1">
    <w:name w:val="Знак Знак1"/>
    <w:basedOn w:val="a"/>
    <w:rsid w:val="004A3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C2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CF2"/>
  </w:style>
  <w:style w:type="paragraph" w:styleId="a9">
    <w:name w:val="footer"/>
    <w:basedOn w:val="a"/>
    <w:link w:val="aa"/>
    <w:uiPriority w:val="99"/>
    <w:unhideWhenUsed/>
    <w:rsid w:val="00C2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071100845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07110084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closure.skrin.ru/ShowMessage.asp?id=4&amp;eid=136644&amp;agency=7&amp;DTI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14</cp:revision>
  <cp:lastPrinted>2016-03-04T13:00:00Z</cp:lastPrinted>
  <dcterms:created xsi:type="dcterms:W3CDTF">2016-06-20T09:27:00Z</dcterms:created>
  <dcterms:modified xsi:type="dcterms:W3CDTF">2016-06-20T12:50:00Z</dcterms:modified>
</cp:coreProperties>
</file>