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321" w:type="dxa"/>
        <w:tblLook w:val="0000" w:firstRow="0" w:lastRow="0" w:firstColumn="0" w:lastColumn="0" w:noHBand="0" w:noVBand="0"/>
      </w:tblPr>
      <w:tblGrid>
        <w:gridCol w:w="5778"/>
        <w:gridCol w:w="4543"/>
      </w:tblGrid>
      <w:tr w:rsidR="009C2908" w:rsidRPr="00D64908" w:rsidTr="00593B6A">
        <w:tc>
          <w:tcPr>
            <w:tcW w:w="5778" w:type="dxa"/>
          </w:tcPr>
          <w:p w:rsidR="009C2908" w:rsidRPr="00D64908" w:rsidRDefault="009C2908" w:rsidP="00593B6A">
            <w:bookmarkStart w:id="0" w:name="_GoBack"/>
            <w:bookmarkEnd w:id="0"/>
            <w:r w:rsidRPr="00D64908">
              <w:t>Утвержден Советом директоров</w:t>
            </w:r>
          </w:p>
          <w:p w:rsidR="009C2908" w:rsidRPr="00D64908" w:rsidRDefault="009C2908" w:rsidP="00593B6A">
            <w:r w:rsidRPr="00D64908">
              <w:t>ОАО «Каббалкэнерго»</w:t>
            </w:r>
          </w:p>
          <w:p w:rsidR="009C2908" w:rsidRPr="00D64908" w:rsidRDefault="009C2908" w:rsidP="00593B6A">
            <w:r w:rsidRPr="00D64908">
              <w:t xml:space="preserve">Протокол № </w:t>
            </w:r>
            <w:r>
              <w:t>___</w:t>
            </w:r>
            <w:r w:rsidRPr="00D64908">
              <w:t xml:space="preserve"> от </w:t>
            </w:r>
            <w:r>
              <w:t>____</w:t>
            </w:r>
            <w:r w:rsidR="006930AB">
              <w:t>_</w:t>
            </w:r>
            <w:r>
              <w:t>__</w:t>
            </w:r>
            <w:r w:rsidRPr="00D64908">
              <w:t xml:space="preserve"> 201</w:t>
            </w:r>
            <w:r w:rsidR="006930AB">
              <w:t>5</w:t>
            </w:r>
            <w:r w:rsidRPr="00D64908">
              <w:t xml:space="preserve">г. </w:t>
            </w:r>
          </w:p>
        </w:tc>
        <w:tc>
          <w:tcPr>
            <w:tcW w:w="4543" w:type="dxa"/>
          </w:tcPr>
          <w:p w:rsidR="009C2908" w:rsidRPr="00D64908" w:rsidRDefault="009C2908" w:rsidP="00593B6A">
            <w:r w:rsidRPr="00D64908">
              <w:t xml:space="preserve">Утвержден общим собранием </w:t>
            </w:r>
          </w:p>
          <w:p w:rsidR="009C2908" w:rsidRPr="00D64908" w:rsidRDefault="009C2908" w:rsidP="00593B6A">
            <w:r w:rsidRPr="00D64908">
              <w:t>акционеров ОАО «Каббалкэнерго»</w:t>
            </w:r>
          </w:p>
          <w:p w:rsidR="009C2908" w:rsidRPr="00D64908" w:rsidRDefault="009C2908" w:rsidP="006930AB">
            <w:r w:rsidRPr="00D64908">
              <w:t xml:space="preserve">Протокол № </w:t>
            </w:r>
            <w:r>
              <w:t>__</w:t>
            </w:r>
            <w:r w:rsidRPr="00D64908">
              <w:t xml:space="preserve"> от </w:t>
            </w:r>
            <w:r w:rsidR="006930AB">
              <w:t xml:space="preserve">________ </w:t>
            </w:r>
            <w:r w:rsidRPr="00D64908">
              <w:t>201</w:t>
            </w:r>
            <w:r w:rsidR="006930AB">
              <w:t>5</w:t>
            </w:r>
            <w:r w:rsidRPr="00D64908">
              <w:t>г.</w:t>
            </w:r>
          </w:p>
        </w:tc>
      </w:tr>
    </w:tbl>
    <w:p w:rsidR="009C2908" w:rsidRPr="00D64908" w:rsidRDefault="009C2908" w:rsidP="009C2908"/>
    <w:p w:rsidR="009C2908" w:rsidRPr="00D64908" w:rsidRDefault="009C2908" w:rsidP="009C2908"/>
    <w:p w:rsidR="006930AB" w:rsidRDefault="006930AB" w:rsidP="009C2908"/>
    <w:p w:rsidR="006930AB" w:rsidRDefault="006930AB" w:rsidP="009C2908"/>
    <w:p w:rsidR="009C2908" w:rsidRPr="00D64908" w:rsidRDefault="009C2908" w:rsidP="009C2908">
      <w:r>
        <w:rPr>
          <w:noProof/>
        </w:rPr>
        <w:drawing>
          <wp:anchor distT="0" distB="0" distL="114300" distR="114300" simplePos="0" relativeHeight="251691008" behindDoc="0" locked="0" layoutInCell="1" allowOverlap="1" wp14:anchorId="6C3166AA" wp14:editId="3E3C6857">
            <wp:simplePos x="0" y="0"/>
            <wp:positionH relativeFrom="column">
              <wp:posOffset>2524125</wp:posOffset>
            </wp:positionH>
            <wp:positionV relativeFrom="paragraph">
              <wp:posOffset>30480</wp:posOffset>
            </wp:positionV>
            <wp:extent cx="924560" cy="920115"/>
            <wp:effectExtent l="0" t="0" r="8890" b="0"/>
            <wp:wrapNone/>
            <wp:docPr id="40" name="Рисунок 40" descr="Лого КБ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Лого КБЭ"/>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4560" cy="9201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2908" w:rsidRPr="00D64908" w:rsidRDefault="009C2908" w:rsidP="009C2908"/>
    <w:p w:rsidR="009C2908" w:rsidRPr="00D64908" w:rsidRDefault="009C2908" w:rsidP="009C2908">
      <w:r w:rsidRPr="00D64908">
        <w:t xml:space="preserve">                         </w:t>
      </w:r>
    </w:p>
    <w:p w:rsidR="009C2908" w:rsidRPr="00D64908" w:rsidRDefault="009C2908" w:rsidP="009C2908">
      <w:pPr>
        <w:jc w:val="center"/>
        <w:rPr>
          <w:rFonts w:ascii="Lucida Sans Unicode" w:hAnsi="Lucida Sans Unicode" w:cs="Lucida Sans Unicode"/>
          <w:b/>
        </w:rPr>
      </w:pPr>
    </w:p>
    <w:p w:rsidR="009C2908" w:rsidRPr="00D64908" w:rsidRDefault="009C2908" w:rsidP="009C2908">
      <w:pPr>
        <w:jc w:val="center"/>
        <w:rPr>
          <w:rFonts w:ascii="Lucida Sans Unicode" w:hAnsi="Lucida Sans Unicode" w:cs="Lucida Sans Unicode"/>
          <w:b/>
        </w:rPr>
      </w:pPr>
    </w:p>
    <w:p w:rsidR="009C2908" w:rsidRPr="00D64908" w:rsidRDefault="009C2908" w:rsidP="009C2908">
      <w:pPr>
        <w:jc w:val="center"/>
        <w:rPr>
          <w:rFonts w:ascii="Lucida Sans Unicode" w:hAnsi="Lucida Sans Unicode" w:cs="Lucida Sans Unicode"/>
          <w:b/>
        </w:rPr>
      </w:pPr>
    </w:p>
    <w:p w:rsidR="009C2908" w:rsidRPr="00D64908" w:rsidRDefault="009C2908" w:rsidP="009C2908">
      <w:pPr>
        <w:jc w:val="center"/>
        <w:rPr>
          <w:rFonts w:ascii="Lucida Sans Unicode" w:hAnsi="Lucida Sans Unicode" w:cs="Lucida Sans Unicode"/>
          <w:b/>
        </w:rPr>
      </w:pPr>
    </w:p>
    <w:p w:rsidR="009C2908" w:rsidRPr="00D64908" w:rsidRDefault="009C2908" w:rsidP="009C2908">
      <w:pPr>
        <w:jc w:val="center"/>
        <w:rPr>
          <w:rFonts w:ascii="Lucida Sans Unicode" w:hAnsi="Lucida Sans Unicode" w:cs="Lucida Sans Unicode"/>
          <w:b/>
        </w:rPr>
      </w:pPr>
    </w:p>
    <w:p w:rsidR="009C2908" w:rsidRPr="00D64908" w:rsidRDefault="009C2908" w:rsidP="009C2908">
      <w:pPr>
        <w:jc w:val="center"/>
        <w:rPr>
          <w:b/>
          <w:sz w:val="48"/>
          <w:szCs w:val="28"/>
        </w:rPr>
      </w:pPr>
      <w:r w:rsidRPr="00D64908">
        <w:rPr>
          <w:b/>
          <w:sz w:val="48"/>
          <w:szCs w:val="28"/>
        </w:rPr>
        <w:t>ГОДОВОЙ ОТЧЕТ</w:t>
      </w:r>
    </w:p>
    <w:p w:rsidR="006930AB" w:rsidRDefault="009C2908" w:rsidP="009C2908">
      <w:pPr>
        <w:jc w:val="center"/>
        <w:rPr>
          <w:b/>
          <w:sz w:val="40"/>
          <w:szCs w:val="28"/>
        </w:rPr>
      </w:pPr>
      <w:r w:rsidRPr="00D64908">
        <w:rPr>
          <w:b/>
          <w:sz w:val="40"/>
          <w:szCs w:val="28"/>
        </w:rPr>
        <w:t xml:space="preserve">Кабардино-Балкарского </w:t>
      </w:r>
    </w:p>
    <w:p w:rsidR="006930AB" w:rsidRDefault="009C2908" w:rsidP="009C2908">
      <w:pPr>
        <w:jc w:val="center"/>
        <w:rPr>
          <w:b/>
          <w:sz w:val="40"/>
          <w:szCs w:val="28"/>
        </w:rPr>
      </w:pPr>
      <w:r w:rsidRPr="00D64908">
        <w:rPr>
          <w:b/>
          <w:sz w:val="40"/>
          <w:szCs w:val="28"/>
        </w:rPr>
        <w:t xml:space="preserve">открытого акционерного общества </w:t>
      </w:r>
    </w:p>
    <w:p w:rsidR="009C2908" w:rsidRPr="00D64908" w:rsidRDefault="009C2908" w:rsidP="009C2908">
      <w:pPr>
        <w:jc w:val="center"/>
        <w:rPr>
          <w:b/>
          <w:sz w:val="40"/>
          <w:szCs w:val="28"/>
        </w:rPr>
      </w:pPr>
      <w:r w:rsidRPr="00D64908">
        <w:rPr>
          <w:b/>
          <w:sz w:val="40"/>
          <w:szCs w:val="28"/>
        </w:rPr>
        <w:t>энергетики и электрификации</w:t>
      </w:r>
    </w:p>
    <w:p w:rsidR="009C2908" w:rsidRPr="00D64908" w:rsidRDefault="009C2908" w:rsidP="009C2908">
      <w:pPr>
        <w:jc w:val="center"/>
        <w:rPr>
          <w:b/>
          <w:sz w:val="40"/>
          <w:szCs w:val="28"/>
        </w:rPr>
      </w:pPr>
      <w:r w:rsidRPr="00D64908">
        <w:rPr>
          <w:b/>
          <w:sz w:val="40"/>
          <w:szCs w:val="28"/>
        </w:rPr>
        <w:t>за 201</w:t>
      </w:r>
      <w:r w:rsidR="006930AB">
        <w:rPr>
          <w:b/>
          <w:sz w:val="40"/>
          <w:szCs w:val="28"/>
        </w:rPr>
        <w:t>4</w:t>
      </w:r>
      <w:r w:rsidRPr="00D64908">
        <w:rPr>
          <w:b/>
          <w:sz w:val="40"/>
          <w:szCs w:val="28"/>
        </w:rPr>
        <w:t xml:space="preserve"> год</w:t>
      </w:r>
    </w:p>
    <w:p w:rsidR="009C2908" w:rsidRPr="00D64908" w:rsidRDefault="009C2908" w:rsidP="009C2908"/>
    <w:p w:rsidR="009C2908" w:rsidRPr="00D64908" w:rsidRDefault="009C2908" w:rsidP="009C2908"/>
    <w:p w:rsidR="009C2908" w:rsidRDefault="009C2908" w:rsidP="009C2908"/>
    <w:p w:rsidR="009C2908" w:rsidRPr="00D64908" w:rsidRDefault="009C2908" w:rsidP="009C2908"/>
    <w:p w:rsidR="009C2908" w:rsidRPr="00D64908" w:rsidRDefault="009C2908" w:rsidP="009C2908">
      <w:pPr>
        <w:rPr>
          <w:b/>
        </w:rPr>
      </w:pPr>
    </w:p>
    <w:p w:rsidR="009C2908" w:rsidRPr="00D64908" w:rsidRDefault="009C2908" w:rsidP="009C2908">
      <w:pPr>
        <w:jc w:val="both"/>
      </w:pPr>
      <w:r w:rsidRPr="00D64908">
        <w:t>Место нахождения: 360000</w:t>
      </w:r>
      <w:r>
        <w:t>,</w:t>
      </w:r>
      <w:r w:rsidRPr="00B72537">
        <w:t xml:space="preserve"> </w:t>
      </w:r>
      <w:r w:rsidRPr="00D64908">
        <w:t>Российская Федерация,</w:t>
      </w:r>
      <w:r>
        <w:t xml:space="preserve"> </w:t>
      </w:r>
      <w:r w:rsidRPr="00D64908">
        <w:t>Кабардино-Балкарская Республика,</w:t>
      </w:r>
      <w:r>
        <w:t xml:space="preserve"> </w:t>
      </w:r>
      <w:r w:rsidRPr="00D64908">
        <w:t>г</w:t>
      </w:r>
      <w:r>
        <w:t xml:space="preserve">ород </w:t>
      </w:r>
      <w:r w:rsidRPr="00D64908">
        <w:t>Нальчик,</w:t>
      </w:r>
      <w:r>
        <w:t xml:space="preserve"> ул. Щорса, д. 6</w:t>
      </w:r>
      <w:r w:rsidRPr="00D64908">
        <w:t>.</w:t>
      </w:r>
    </w:p>
    <w:p w:rsidR="009C2908" w:rsidRPr="00D64908" w:rsidRDefault="009C2908" w:rsidP="009C2908">
      <w:pPr>
        <w:jc w:val="both"/>
      </w:pPr>
    </w:p>
    <w:p w:rsidR="009C2908" w:rsidRPr="00D64908" w:rsidRDefault="009C2908" w:rsidP="009C2908">
      <w:pPr>
        <w:jc w:val="both"/>
      </w:pPr>
      <w:r w:rsidRPr="00D64908">
        <w:t xml:space="preserve">Почтовый адрес: </w:t>
      </w:r>
      <w:r w:rsidRPr="00B72537">
        <w:t>360000, Российская Федерация, Кабардино-Балкарская Республика, город Нальчик, ул. Щорса, д.</w:t>
      </w:r>
      <w:r>
        <w:t xml:space="preserve"> </w:t>
      </w:r>
      <w:r w:rsidRPr="00B72537">
        <w:t>6.</w:t>
      </w:r>
    </w:p>
    <w:p w:rsidR="009C2908" w:rsidRPr="00D64908" w:rsidRDefault="009C2908" w:rsidP="009C2908"/>
    <w:p w:rsidR="009C2908" w:rsidRPr="00D64908" w:rsidRDefault="009C2908" w:rsidP="009C2908"/>
    <w:p w:rsidR="009C2908" w:rsidRPr="00D64908" w:rsidRDefault="009C2908" w:rsidP="009C2908"/>
    <w:p w:rsidR="009C2908" w:rsidRPr="00D64908" w:rsidRDefault="009C2908" w:rsidP="009C2908"/>
    <w:p w:rsidR="009C2908" w:rsidRPr="00D64908" w:rsidRDefault="009C2908" w:rsidP="009C2908"/>
    <w:tbl>
      <w:tblPr>
        <w:tblW w:w="0" w:type="auto"/>
        <w:tblLook w:val="04A0" w:firstRow="1" w:lastRow="0" w:firstColumn="1" w:lastColumn="0" w:noHBand="0" w:noVBand="1"/>
      </w:tblPr>
      <w:tblGrid>
        <w:gridCol w:w="7449"/>
        <w:gridCol w:w="2122"/>
      </w:tblGrid>
      <w:tr w:rsidR="009C2908" w:rsidRPr="00D64908" w:rsidTr="00593B6A">
        <w:tc>
          <w:tcPr>
            <w:tcW w:w="7479" w:type="dxa"/>
            <w:shd w:val="clear" w:color="auto" w:fill="auto"/>
            <w:vAlign w:val="bottom"/>
          </w:tcPr>
          <w:p w:rsidR="009C2908" w:rsidRPr="00D64908" w:rsidRDefault="009C2908" w:rsidP="00593B6A">
            <w:pPr>
              <w:rPr>
                <w:b/>
              </w:rPr>
            </w:pPr>
            <w:r w:rsidRPr="00D64908">
              <w:rPr>
                <w:b/>
              </w:rPr>
              <w:t>Генеральн</w:t>
            </w:r>
            <w:r>
              <w:rPr>
                <w:b/>
              </w:rPr>
              <w:t>ый</w:t>
            </w:r>
            <w:r w:rsidRPr="00D64908">
              <w:rPr>
                <w:b/>
              </w:rPr>
              <w:t xml:space="preserve"> директор </w:t>
            </w:r>
          </w:p>
          <w:p w:rsidR="009C2908" w:rsidRPr="00D64908" w:rsidRDefault="009C2908" w:rsidP="00593B6A">
            <w:pPr>
              <w:rPr>
                <w:b/>
              </w:rPr>
            </w:pPr>
            <w:r w:rsidRPr="00D64908">
              <w:rPr>
                <w:b/>
              </w:rPr>
              <w:t>ОАО «Каббалкэнерго»</w:t>
            </w:r>
          </w:p>
        </w:tc>
        <w:tc>
          <w:tcPr>
            <w:tcW w:w="2127" w:type="dxa"/>
            <w:shd w:val="clear" w:color="auto" w:fill="auto"/>
            <w:vAlign w:val="bottom"/>
          </w:tcPr>
          <w:p w:rsidR="009C2908" w:rsidRPr="00D64908" w:rsidRDefault="009C2908" w:rsidP="00593B6A">
            <w:pPr>
              <w:rPr>
                <w:b/>
              </w:rPr>
            </w:pPr>
            <w:r>
              <w:rPr>
                <w:b/>
              </w:rPr>
              <w:t>А.М. Аушев</w:t>
            </w:r>
          </w:p>
        </w:tc>
      </w:tr>
      <w:tr w:rsidR="009C2908" w:rsidRPr="00D64908" w:rsidTr="00593B6A">
        <w:trPr>
          <w:trHeight w:val="1090"/>
        </w:trPr>
        <w:tc>
          <w:tcPr>
            <w:tcW w:w="7479" w:type="dxa"/>
            <w:shd w:val="clear" w:color="auto" w:fill="auto"/>
            <w:vAlign w:val="bottom"/>
          </w:tcPr>
          <w:p w:rsidR="009C2908" w:rsidRDefault="009C2908" w:rsidP="00593B6A">
            <w:pPr>
              <w:rPr>
                <w:b/>
              </w:rPr>
            </w:pPr>
            <w:r w:rsidRPr="00D64908">
              <w:rPr>
                <w:b/>
              </w:rPr>
              <w:t>Главный бухгалтер</w:t>
            </w:r>
          </w:p>
          <w:p w:rsidR="006930AB" w:rsidRPr="00D64908" w:rsidRDefault="006930AB" w:rsidP="00593B6A">
            <w:pPr>
              <w:rPr>
                <w:b/>
              </w:rPr>
            </w:pPr>
            <w:r>
              <w:rPr>
                <w:b/>
              </w:rPr>
              <w:t>ОАО «Каббалкэнерго»</w:t>
            </w:r>
          </w:p>
        </w:tc>
        <w:tc>
          <w:tcPr>
            <w:tcW w:w="2127" w:type="dxa"/>
            <w:shd w:val="clear" w:color="auto" w:fill="auto"/>
            <w:vAlign w:val="bottom"/>
          </w:tcPr>
          <w:p w:rsidR="009C2908" w:rsidRPr="00D64908" w:rsidRDefault="009C2908" w:rsidP="00593B6A">
            <w:pPr>
              <w:rPr>
                <w:b/>
              </w:rPr>
            </w:pPr>
            <w:r w:rsidRPr="00D64908">
              <w:rPr>
                <w:b/>
              </w:rPr>
              <w:t>А. М. Кумехова</w:t>
            </w:r>
          </w:p>
        </w:tc>
      </w:tr>
    </w:tbl>
    <w:p w:rsidR="009C2908" w:rsidRPr="00D64908" w:rsidRDefault="009C2908" w:rsidP="009C2908">
      <w:pPr>
        <w:jc w:val="both"/>
        <w:rPr>
          <w:b/>
        </w:rPr>
      </w:pPr>
      <w:r w:rsidRPr="00D64908">
        <w:rPr>
          <w:b/>
        </w:rPr>
        <w:t xml:space="preserve">                                                                                    </w:t>
      </w:r>
    </w:p>
    <w:p w:rsidR="009C2908" w:rsidRPr="00D64908" w:rsidRDefault="009C2908" w:rsidP="009C2908">
      <w:pPr>
        <w:jc w:val="both"/>
        <w:rPr>
          <w:b/>
        </w:rPr>
      </w:pPr>
      <w:r w:rsidRPr="00D64908">
        <w:rPr>
          <w:b/>
        </w:rPr>
        <w:t xml:space="preserve">                                                                     </w:t>
      </w:r>
      <w:r w:rsidRPr="00D64908">
        <w:rPr>
          <w:b/>
        </w:rPr>
        <w:tab/>
        <w:t xml:space="preserve">       </w:t>
      </w:r>
    </w:p>
    <w:p w:rsidR="009C2908" w:rsidRPr="00D64908" w:rsidRDefault="009C2908" w:rsidP="006930AB">
      <w:pPr>
        <w:rPr>
          <w:b/>
        </w:rPr>
      </w:pPr>
      <w:r w:rsidRPr="00D64908">
        <w:rPr>
          <w:b/>
        </w:rPr>
        <w:tab/>
      </w:r>
      <w:r w:rsidRPr="00D64908">
        <w:rPr>
          <w:b/>
        </w:rPr>
        <w:tab/>
      </w:r>
      <w:r w:rsidRPr="00D64908">
        <w:rPr>
          <w:b/>
        </w:rPr>
        <w:tab/>
      </w:r>
      <w:r w:rsidRPr="00D64908">
        <w:rPr>
          <w:b/>
        </w:rPr>
        <w:tab/>
        <w:t xml:space="preserve">       </w:t>
      </w:r>
    </w:p>
    <w:p w:rsidR="009C2908" w:rsidRDefault="009C2908" w:rsidP="009C2908">
      <w:pPr>
        <w:jc w:val="center"/>
        <w:rPr>
          <w:b/>
        </w:rPr>
      </w:pPr>
    </w:p>
    <w:p w:rsidR="006930AB" w:rsidRPr="00D64908" w:rsidRDefault="006930AB" w:rsidP="009C2908">
      <w:pPr>
        <w:jc w:val="center"/>
        <w:rPr>
          <w:b/>
        </w:rPr>
      </w:pPr>
    </w:p>
    <w:p w:rsidR="009C2908" w:rsidRPr="006930AB" w:rsidRDefault="009C2908" w:rsidP="009C2908">
      <w:pPr>
        <w:jc w:val="center"/>
        <w:rPr>
          <w:sz w:val="22"/>
        </w:rPr>
      </w:pPr>
      <w:r w:rsidRPr="006930AB">
        <w:rPr>
          <w:sz w:val="22"/>
        </w:rPr>
        <w:t>г. Нальчик</w:t>
      </w:r>
    </w:p>
    <w:p w:rsidR="009C2908" w:rsidRDefault="009C2908" w:rsidP="009C2908">
      <w:pPr>
        <w:jc w:val="center"/>
        <w:rPr>
          <w:b/>
        </w:rPr>
      </w:pPr>
      <w:r w:rsidRPr="00B72537">
        <w:rPr>
          <w:b/>
        </w:rPr>
        <w:lastRenderedPageBreak/>
        <w:t xml:space="preserve">ОГЛАВЛЕНИЕ </w:t>
      </w:r>
    </w:p>
    <w:p w:rsidR="009C2908" w:rsidRPr="001E1240" w:rsidRDefault="009C2908" w:rsidP="009C2908">
      <w:pPr>
        <w:jc w:val="center"/>
      </w:pPr>
    </w:p>
    <w:p w:rsidR="009C2908" w:rsidRPr="00593B6A" w:rsidRDefault="009C2908" w:rsidP="00333A48">
      <w:pPr>
        <w:jc w:val="both"/>
        <w:rPr>
          <w:sz w:val="22"/>
        </w:rPr>
      </w:pPr>
      <w:r w:rsidRPr="00593B6A">
        <w:rPr>
          <w:sz w:val="22"/>
        </w:rPr>
        <w:t xml:space="preserve">Обращение </w:t>
      </w:r>
      <w:r w:rsidR="00E001BD">
        <w:rPr>
          <w:sz w:val="22"/>
        </w:rPr>
        <w:t xml:space="preserve">к акционерам </w:t>
      </w:r>
      <w:r w:rsidRPr="00593B6A">
        <w:rPr>
          <w:sz w:val="22"/>
        </w:rPr>
        <w:t xml:space="preserve">Председателя Совета директоров </w:t>
      </w:r>
      <w:r w:rsidR="00593B6A">
        <w:rPr>
          <w:sz w:val="22"/>
        </w:rPr>
        <w:t>……….</w:t>
      </w:r>
      <w:r w:rsidR="00E001BD">
        <w:rPr>
          <w:sz w:val="22"/>
        </w:rPr>
        <w:t>………………………………</w:t>
      </w:r>
      <w:r w:rsidR="001D7BB2">
        <w:rPr>
          <w:sz w:val="22"/>
        </w:rPr>
        <w:t>.</w:t>
      </w:r>
      <w:r w:rsidR="00333A48">
        <w:rPr>
          <w:sz w:val="22"/>
        </w:rPr>
        <w:t>..</w:t>
      </w:r>
      <w:r w:rsidR="001D7BB2">
        <w:rPr>
          <w:sz w:val="22"/>
        </w:rPr>
        <w:t>.</w:t>
      </w:r>
      <w:r w:rsidR="00247FEF">
        <w:rPr>
          <w:sz w:val="22"/>
        </w:rPr>
        <w:t>5</w:t>
      </w:r>
    </w:p>
    <w:p w:rsidR="009C2908" w:rsidRPr="00593B6A" w:rsidRDefault="009C2908" w:rsidP="00333A48">
      <w:pPr>
        <w:jc w:val="both"/>
        <w:rPr>
          <w:sz w:val="22"/>
        </w:rPr>
      </w:pPr>
      <w:r w:rsidRPr="00593B6A">
        <w:rPr>
          <w:sz w:val="22"/>
        </w:rPr>
        <w:t xml:space="preserve">Обращение </w:t>
      </w:r>
      <w:r w:rsidR="00E001BD">
        <w:rPr>
          <w:sz w:val="22"/>
        </w:rPr>
        <w:t xml:space="preserve">к акционерам </w:t>
      </w:r>
      <w:r w:rsidRPr="00593B6A">
        <w:rPr>
          <w:sz w:val="22"/>
        </w:rPr>
        <w:t>Генерального директора…</w:t>
      </w:r>
      <w:r w:rsidR="00593B6A">
        <w:rPr>
          <w:sz w:val="22"/>
        </w:rPr>
        <w:t>…</w:t>
      </w:r>
      <w:r w:rsidR="001D7BB2">
        <w:rPr>
          <w:sz w:val="22"/>
        </w:rPr>
        <w:t>………………………………………..….….</w:t>
      </w:r>
      <w:r w:rsidR="00247FEF">
        <w:rPr>
          <w:sz w:val="22"/>
        </w:rPr>
        <w:t>6</w:t>
      </w:r>
    </w:p>
    <w:p w:rsidR="009C2908" w:rsidRPr="00593B6A" w:rsidRDefault="00C614E6" w:rsidP="00333A48">
      <w:pPr>
        <w:jc w:val="both"/>
        <w:rPr>
          <w:sz w:val="22"/>
        </w:rPr>
      </w:pPr>
      <w:r w:rsidRPr="00C614E6">
        <w:rPr>
          <w:b/>
          <w:i/>
          <w:sz w:val="22"/>
        </w:rPr>
        <w:t>Раздел 1. О компании</w:t>
      </w:r>
      <w:r>
        <w:rPr>
          <w:sz w:val="22"/>
        </w:rPr>
        <w:t xml:space="preserve"> .....</w:t>
      </w:r>
      <w:r w:rsidR="009C2908" w:rsidRPr="00593B6A">
        <w:rPr>
          <w:sz w:val="22"/>
        </w:rPr>
        <w:t>……………</w:t>
      </w:r>
      <w:r>
        <w:rPr>
          <w:sz w:val="22"/>
        </w:rPr>
        <w:t>………</w:t>
      </w:r>
      <w:r w:rsidR="001D7BB2">
        <w:rPr>
          <w:sz w:val="22"/>
        </w:rPr>
        <w:t>……………………………………………………</w:t>
      </w:r>
      <w:r w:rsidR="00333A48">
        <w:rPr>
          <w:sz w:val="22"/>
        </w:rPr>
        <w:t>….</w:t>
      </w:r>
      <w:r w:rsidR="001D7BB2">
        <w:rPr>
          <w:sz w:val="22"/>
        </w:rPr>
        <w:t>….</w:t>
      </w:r>
      <w:r w:rsidR="00247FEF">
        <w:rPr>
          <w:sz w:val="22"/>
        </w:rPr>
        <w:t>8</w:t>
      </w:r>
    </w:p>
    <w:p w:rsidR="009C2908" w:rsidRPr="00593B6A" w:rsidRDefault="009C2908" w:rsidP="00333A48">
      <w:pPr>
        <w:ind w:firstLine="567"/>
        <w:jc w:val="both"/>
        <w:rPr>
          <w:sz w:val="22"/>
        </w:rPr>
      </w:pPr>
      <w:r w:rsidRPr="00593B6A">
        <w:rPr>
          <w:sz w:val="22"/>
        </w:rPr>
        <w:t xml:space="preserve">1.1. </w:t>
      </w:r>
      <w:r w:rsidR="00C614E6">
        <w:rPr>
          <w:sz w:val="22"/>
        </w:rPr>
        <w:t>Краткая история</w:t>
      </w:r>
      <w:r w:rsidRPr="00593B6A">
        <w:rPr>
          <w:sz w:val="22"/>
        </w:rPr>
        <w:t>..…………………</w:t>
      </w:r>
      <w:r w:rsidR="00C614E6">
        <w:rPr>
          <w:sz w:val="22"/>
        </w:rPr>
        <w:t>……………..</w:t>
      </w:r>
      <w:r w:rsidR="001D7BB2">
        <w:rPr>
          <w:sz w:val="22"/>
        </w:rPr>
        <w:t>…………..………………………...……....</w:t>
      </w:r>
      <w:r w:rsidR="00247FEF">
        <w:rPr>
          <w:sz w:val="22"/>
        </w:rPr>
        <w:t>8</w:t>
      </w:r>
    </w:p>
    <w:p w:rsidR="009C2908" w:rsidRPr="00593B6A" w:rsidRDefault="009C2908" w:rsidP="00333A48">
      <w:pPr>
        <w:ind w:firstLine="567"/>
        <w:jc w:val="both"/>
        <w:rPr>
          <w:sz w:val="22"/>
        </w:rPr>
      </w:pPr>
      <w:r w:rsidRPr="00593B6A">
        <w:rPr>
          <w:sz w:val="22"/>
        </w:rPr>
        <w:t xml:space="preserve">1.2. </w:t>
      </w:r>
      <w:r w:rsidR="00C614E6">
        <w:rPr>
          <w:sz w:val="22"/>
        </w:rPr>
        <w:t>Положение АО в отрасли</w:t>
      </w:r>
      <w:r w:rsidRPr="00593B6A">
        <w:rPr>
          <w:sz w:val="22"/>
        </w:rPr>
        <w:t>…………</w:t>
      </w:r>
      <w:r w:rsidR="00C614E6">
        <w:rPr>
          <w:sz w:val="22"/>
        </w:rPr>
        <w:t>………….</w:t>
      </w:r>
      <w:r w:rsidR="001D7BB2">
        <w:rPr>
          <w:sz w:val="22"/>
        </w:rPr>
        <w:t>………………...…………………………..…</w:t>
      </w:r>
      <w:r w:rsidR="00247FEF">
        <w:rPr>
          <w:sz w:val="22"/>
        </w:rPr>
        <w:t>9</w:t>
      </w:r>
    </w:p>
    <w:p w:rsidR="009C2908" w:rsidRPr="00593B6A" w:rsidRDefault="009C2908" w:rsidP="00333A48">
      <w:pPr>
        <w:ind w:firstLine="567"/>
        <w:jc w:val="both"/>
        <w:rPr>
          <w:sz w:val="22"/>
        </w:rPr>
      </w:pPr>
      <w:r w:rsidRPr="00593B6A">
        <w:rPr>
          <w:sz w:val="22"/>
        </w:rPr>
        <w:t xml:space="preserve">1.3. </w:t>
      </w:r>
      <w:r w:rsidR="00C614E6">
        <w:rPr>
          <w:sz w:val="22"/>
        </w:rPr>
        <w:t>Ключевые события 2014 года</w:t>
      </w:r>
      <w:r w:rsidRPr="00593B6A">
        <w:rPr>
          <w:sz w:val="22"/>
        </w:rPr>
        <w:t>………</w:t>
      </w:r>
      <w:r w:rsidR="00C614E6">
        <w:rPr>
          <w:sz w:val="22"/>
        </w:rPr>
        <w:t>…………</w:t>
      </w:r>
      <w:r w:rsidR="00247FEF">
        <w:rPr>
          <w:sz w:val="22"/>
        </w:rPr>
        <w:t>………………...……………………</w:t>
      </w:r>
      <w:r w:rsidR="001D7BB2">
        <w:rPr>
          <w:sz w:val="22"/>
        </w:rPr>
        <w:t>…...</w:t>
      </w:r>
      <w:r w:rsidR="00333A48">
        <w:rPr>
          <w:sz w:val="22"/>
        </w:rPr>
        <w:t>...</w:t>
      </w:r>
      <w:r w:rsidR="001D7BB2">
        <w:rPr>
          <w:sz w:val="22"/>
        </w:rPr>
        <w:t>.</w:t>
      </w:r>
      <w:r w:rsidR="00247FEF">
        <w:rPr>
          <w:sz w:val="22"/>
        </w:rPr>
        <w:t>10</w:t>
      </w:r>
    </w:p>
    <w:p w:rsidR="009C2908" w:rsidRPr="00593B6A" w:rsidRDefault="009C2908" w:rsidP="00333A48">
      <w:pPr>
        <w:ind w:firstLine="567"/>
        <w:jc w:val="both"/>
        <w:rPr>
          <w:sz w:val="22"/>
        </w:rPr>
      </w:pPr>
      <w:r w:rsidRPr="00593B6A">
        <w:rPr>
          <w:sz w:val="22"/>
        </w:rPr>
        <w:t xml:space="preserve">1.4. </w:t>
      </w:r>
      <w:r w:rsidR="00C614E6">
        <w:rPr>
          <w:sz w:val="22"/>
        </w:rPr>
        <w:t>Система управления рисками и внутреннего контроля Общества ……..………….……</w:t>
      </w:r>
      <w:r w:rsidR="001D7BB2">
        <w:rPr>
          <w:sz w:val="22"/>
        </w:rPr>
        <w:t>..</w:t>
      </w:r>
      <w:r w:rsidR="00247FEF">
        <w:rPr>
          <w:sz w:val="22"/>
        </w:rPr>
        <w:t>13</w:t>
      </w:r>
    </w:p>
    <w:p w:rsidR="009C2908" w:rsidRPr="00593B6A" w:rsidRDefault="009C2908" w:rsidP="00333A48">
      <w:pPr>
        <w:ind w:firstLine="567"/>
        <w:jc w:val="both"/>
        <w:rPr>
          <w:sz w:val="22"/>
        </w:rPr>
      </w:pPr>
      <w:r w:rsidRPr="00593B6A">
        <w:rPr>
          <w:sz w:val="22"/>
        </w:rPr>
        <w:t xml:space="preserve">1.5. </w:t>
      </w:r>
      <w:r w:rsidR="00C614E6">
        <w:rPr>
          <w:sz w:val="22"/>
        </w:rPr>
        <w:t>Информационные технологии и коммуникации………….</w:t>
      </w:r>
      <w:r w:rsidR="001D7BB2">
        <w:rPr>
          <w:sz w:val="22"/>
        </w:rPr>
        <w:t>……………………....………..</w:t>
      </w:r>
      <w:r w:rsidR="00247FEF">
        <w:rPr>
          <w:sz w:val="22"/>
        </w:rPr>
        <w:t>22</w:t>
      </w:r>
    </w:p>
    <w:p w:rsidR="009C2908" w:rsidRPr="00593B6A" w:rsidRDefault="005E51D4" w:rsidP="00333A48">
      <w:pPr>
        <w:jc w:val="both"/>
        <w:rPr>
          <w:sz w:val="22"/>
        </w:rPr>
      </w:pPr>
      <w:r w:rsidRPr="005E51D4">
        <w:rPr>
          <w:b/>
          <w:i/>
          <w:sz w:val="22"/>
        </w:rPr>
        <w:t>Раздел 2. Отчет о финансово-экономической деятельности Общества</w:t>
      </w:r>
      <w:r w:rsidR="009C2908" w:rsidRPr="00593B6A">
        <w:rPr>
          <w:sz w:val="22"/>
        </w:rPr>
        <w:t xml:space="preserve"> …</w:t>
      </w:r>
      <w:r>
        <w:rPr>
          <w:sz w:val="22"/>
        </w:rPr>
        <w:t>...……</w:t>
      </w:r>
      <w:r w:rsidR="001D7BB2">
        <w:rPr>
          <w:sz w:val="22"/>
        </w:rPr>
        <w:t>…………</w:t>
      </w:r>
      <w:r w:rsidR="00333A48">
        <w:rPr>
          <w:sz w:val="22"/>
        </w:rPr>
        <w:t>…</w:t>
      </w:r>
      <w:r w:rsidR="001D7BB2">
        <w:rPr>
          <w:sz w:val="22"/>
        </w:rPr>
        <w:t>..</w:t>
      </w:r>
      <w:r w:rsidR="00247FEF">
        <w:rPr>
          <w:sz w:val="22"/>
        </w:rPr>
        <w:t>28</w:t>
      </w:r>
    </w:p>
    <w:p w:rsidR="009C2908" w:rsidRPr="00593B6A" w:rsidRDefault="009C2908" w:rsidP="00333A48">
      <w:pPr>
        <w:ind w:firstLine="567"/>
        <w:jc w:val="both"/>
        <w:rPr>
          <w:sz w:val="22"/>
        </w:rPr>
      </w:pPr>
      <w:r w:rsidRPr="00593B6A">
        <w:rPr>
          <w:sz w:val="22"/>
        </w:rPr>
        <w:t>2.1. Анализ финансового состояния и результатов деятельности………</w:t>
      </w:r>
      <w:r w:rsidR="001D7BB2">
        <w:rPr>
          <w:sz w:val="22"/>
        </w:rPr>
        <w:t>……….…………….</w:t>
      </w:r>
      <w:r w:rsidR="00247FEF">
        <w:rPr>
          <w:sz w:val="22"/>
        </w:rPr>
        <w:t>28</w:t>
      </w:r>
    </w:p>
    <w:p w:rsidR="009C2908" w:rsidRPr="00593B6A" w:rsidRDefault="009C2908" w:rsidP="00333A48">
      <w:pPr>
        <w:ind w:firstLine="567"/>
        <w:jc w:val="both"/>
        <w:rPr>
          <w:sz w:val="22"/>
        </w:rPr>
      </w:pPr>
      <w:r w:rsidRPr="00593B6A">
        <w:rPr>
          <w:sz w:val="22"/>
        </w:rPr>
        <w:t xml:space="preserve">2.2. </w:t>
      </w:r>
      <w:r w:rsidR="001D7BB2">
        <w:rPr>
          <w:sz w:val="22"/>
        </w:rPr>
        <w:t xml:space="preserve">Информация о состоянии чистых активов </w:t>
      </w:r>
      <w:r w:rsidRPr="00593B6A">
        <w:rPr>
          <w:sz w:val="22"/>
        </w:rPr>
        <w:t>…………………………</w:t>
      </w:r>
      <w:r w:rsidR="001D7BB2">
        <w:rPr>
          <w:sz w:val="22"/>
        </w:rPr>
        <w:t>………………………</w:t>
      </w:r>
      <w:r w:rsidR="00247FEF">
        <w:rPr>
          <w:sz w:val="22"/>
        </w:rPr>
        <w:t>32</w:t>
      </w:r>
    </w:p>
    <w:p w:rsidR="009C2908" w:rsidRDefault="009C2908" w:rsidP="00333A48">
      <w:pPr>
        <w:ind w:firstLine="567"/>
        <w:jc w:val="both"/>
        <w:rPr>
          <w:sz w:val="22"/>
        </w:rPr>
      </w:pPr>
      <w:r w:rsidRPr="00593B6A">
        <w:rPr>
          <w:sz w:val="22"/>
        </w:rPr>
        <w:t xml:space="preserve">2.3. </w:t>
      </w:r>
      <w:r w:rsidR="001D7BB2">
        <w:rPr>
          <w:sz w:val="22"/>
        </w:rPr>
        <w:t>Информация о распределении прибыли Общества, полученной в 2014 году</w:t>
      </w:r>
      <w:r w:rsidRPr="00593B6A">
        <w:rPr>
          <w:sz w:val="22"/>
        </w:rPr>
        <w:t xml:space="preserve"> …...……</w:t>
      </w:r>
      <w:r w:rsidR="001D7BB2">
        <w:rPr>
          <w:sz w:val="22"/>
        </w:rPr>
        <w:t>...</w:t>
      </w:r>
      <w:r w:rsidR="00247FEF">
        <w:rPr>
          <w:sz w:val="22"/>
        </w:rPr>
        <w:t>33</w:t>
      </w:r>
    </w:p>
    <w:p w:rsidR="009A7595" w:rsidRDefault="009A7595" w:rsidP="00333A48">
      <w:pPr>
        <w:ind w:firstLine="567"/>
        <w:jc w:val="both"/>
        <w:rPr>
          <w:sz w:val="22"/>
        </w:rPr>
      </w:pPr>
      <w:r>
        <w:rPr>
          <w:sz w:val="22"/>
        </w:rPr>
        <w:t>2.4. Тарифная политика…………………………………………………………………………...</w:t>
      </w:r>
      <w:r w:rsidR="00247FEF">
        <w:rPr>
          <w:sz w:val="22"/>
        </w:rPr>
        <w:t>35</w:t>
      </w:r>
    </w:p>
    <w:p w:rsidR="009A7595" w:rsidRDefault="009A7595" w:rsidP="00333A48">
      <w:pPr>
        <w:ind w:firstLine="1134"/>
        <w:jc w:val="both"/>
        <w:rPr>
          <w:sz w:val="22"/>
        </w:rPr>
      </w:pPr>
      <w:r>
        <w:rPr>
          <w:sz w:val="22"/>
        </w:rPr>
        <w:t>2.4.1. Общие сведения……………………………………………………………………...</w:t>
      </w:r>
      <w:r w:rsidR="00247FEF">
        <w:rPr>
          <w:sz w:val="22"/>
        </w:rPr>
        <w:t>35</w:t>
      </w:r>
    </w:p>
    <w:p w:rsidR="009A7595" w:rsidRDefault="009A7595" w:rsidP="00333A48">
      <w:pPr>
        <w:ind w:firstLine="1134"/>
        <w:jc w:val="both"/>
        <w:rPr>
          <w:sz w:val="22"/>
        </w:rPr>
      </w:pPr>
      <w:r>
        <w:rPr>
          <w:sz w:val="22"/>
        </w:rPr>
        <w:t>2.4.2. Сбытовые надбавки и доходность продаж гарантирующего поставщика………</w:t>
      </w:r>
      <w:r w:rsidR="00247FEF">
        <w:rPr>
          <w:sz w:val="22"/>
        </w:rPr>
        <w:t>35</w:t>
      </w:r>
    </w:p>
    <w:p w:rsidR="007107AD" w:rsidRPr="00593B6A" w:rsidRDefault="007107AD" w:rsidP="00333A48">
      <w:pPr>
        <w:ind w:firstLine="567"/>
        <w:jc w:val="both"/>
        <w:rPr>
          <w:sz w:val="22"/>
        </w:rPr>
      </w:pPr>
      <w:r>
        <w:rPr>
          <w:sz w:val="22"/>
        </w:rPr>
        <w:t>2.5. Закупочная деятельность…………………………………………………………………….</w:t>
      </w:r>
      <w:r w:rsidR="00247FEF">
        <w:rPr>
          <w:sz w:val="22"/>
        </w:rPr>
        <w:t>41</w:t>
      </w:r>
    </w:p>
    <w:p w:rsidR="009151B2" w:rsidRPr="00593B6A" w:rsidRDefault="00851A5D" w:rsidP="00333A48">
      <w:pPr>
        <w:jc w:val="both"/>
        <w:rPr>
          <w:sz w:val="22"/>
        </w:rPr>
      </w:pPr>
      <w:r w:rsidRPr="00851A5D">
        <w:rPr>
          <w:b/>
          <w:i/>
          <w:sz w:val="22"/>
        </w:rPr>
        <w:t xml:space="preserve">Раздел 3. </w:t>
      </w:r>
      <w:r w:rsidR="009151B2" w:rsidRPr="00851A5D">
        <w:rPr>
          <w:b/>
          <w:i/>
          <w:sz w:val="22"/>
        </w:rPr>
        <w:t>Инвестиционный отчет</w:t>
      </w:r>
      <w:r w:rsidR="009151B2" w:rsidRPr="00593B6A">
        <w:rPr>
          <w:sz w:val="22"/>
        </w:rPr>
        <w:t>........................</w:t>
      </w:r>
      <w:r>
        <w:rPr>
          <w:sz w:val="22"/>
        </w:rPr>
        <w:t>.............................</w:t>
      </w:r>
      <w:r w:rsidR="009151B2" w:rsidRPr="00593B6A">
        <w:rPr>
          <w:sz w:val="22"/>
        </w:rPr>
        <w:t>..............</w:t>
      </w:r>
      <w:r>
        <w:rPr>
          <w:sz w:val="22"/>
        </w:rPr>
        <w:t>............................</w:t>
      </w:r>
      <w:r w:rsidR="009151B2">
        <w:rPr>
          <w:sz w:val="22"/>
        </w:rPr>
        <w:t>.....</w:t>
      </w:r>
      <w:r w:rsidR="00A82085">
        <w:rPr>
          <w:sz w:val="22"/>
        </w:rPr>
        <w:t>43</w:t>
      </w:r>
    </w:p>
    <w:p w:rsidR="009151B2" w:rsidRPr="00593B6A" w:rsidRDefault="009151B2" w:rsidP="00333A48">
      <w:pPr>
        <w:ind w:firstLine="567"/>
        <w:jc w:val="both"/>
        <w:rPr>
          <w:sz w:val="22"/>
        </w:rPr>
      </w:pPr>
      <w:r>
        <w:rPr>
          <w:sz w:val="22"/>
        </w:rPr>
        <w:t>3</w:t>
      </w:r>
      <w:r w:rsidRPr="00593B6A">
        <w:rPr>
          <w:sz w:val="22"/>
        </w:rPr>
        <w:t>.1. Параметры инвестиционной деят</w:t>
      </w:r>
      <w:r>
        <w:rPr>
          <w:sz w:val="22"/>
        </w:rPr>
        <w:t>ельности …………………..………………...………….</w:t>
      </w:r>
      <w:r w:rsidR="00A82085">
        <w:rPr>
          <w:sz w:val="22"/>
        </w:rPr>
        <w:t>43</w:t>
      </w:r>
    </w:p>
    <w:p w:rsidR="009151B2" w:rsidRDefault="009151B2" w:rsidP="00333A48">
      <w:pPr>
        <w:ind w:firstLine="567"/>
        <w:jc w:val="both"/>
        <w:rPr>
          <w:sz w:val="22"/>
        </w:rPr>
      </w:pPr>
      <w:r>
        <w:rPr>
          <w:sz w:val="22"/>
        </w:rPr>
        <w:t>3</w:t>
      </w:r>
      <w:r w:rsidRPr="00593B6A">
        <w:rPr>
          <w:sz w:val="22"/>
        </w:rPr>
        <w:t xml:space="preserve">.2. Направление и структура </w:t>
      </w:r>
      <w:r>
        <w:rPr>
          <w:sz w:val="22"/>
        </w:rPr>
        <w:t xml:space="preserve">финансирования </w:t>
      </w:r>
      <w:r w:rsidRPr="00593B6A">
        <w:rPr>
          <w:sz w:val="22"/>
        </w:rPr>
        <w:t>капитальных вложений</w:t>
      </w:r>
      <w:r>
        <w:rPr>
          <w:sz w:val="22"/>
        </w:rPr>
        <w:t>….……..….............</w:t>
      </w:r>
      <w:r w:rsidR="000D3868">
        <w:rPr>
          <w:sz w:val="22"/>
        </w:rPr>
        <w:t>44</w:t>
      </w:r>
    </w:p>
    <w:p w:rsidR="006410E5" w:rsidRDefault="006410E5" w:rsidP="00333A48">
      <w:pPr>
        <w:ind w:firstLine="567"/>
        <w:jc w:val="both"/>
        <w:rPr>
          <w:sz w:val="22"/>
        </w:rPr>
      </w:pPr>
      <w:r>
        <w:rPr>
          <w:sz w:val="22"/>
        </w:rPr>
        <w:t>3.3. Результаты реализации инвестиционной программы 2014 года…………………………</w:t>
      </w:r>
      <w:r w:rsidR="000D3868">
        <w:rPr>
          <w:sz w:val="22"/>
        </w:rPr>
        <w:t>46</w:t>
      </w:r>
    </w:p>
    <w:p w:rsidR="009151B2" w:rsidRDefault="006410E5" w:rsidP="00333A48">
      <w:pPr>
        <w:ind w:firstLine="567"/>
        <w:jc w:val="both"/>
        <w:rPr>
          <w:sz w:val="22"/>
        </w:rPr>
      </w:pPr>
      <w:r>
        <w:rPr>
          <w:sz w:val="22"/>
        </w:rPr>
        <w:t xml:space="preserve">3.4. </w:t>
      </w:r>
      <w:r w:rsidR="009151B2" w:rsidRPr="00593B6A">
        <w:rPr>
          <w:sz w:val="22"/>
        </w:rPr>
        <w:t>Долгосро</w:t>
      </w:r>
      <w:r>
        <w:rPr>
          <w:sz w:val="22"/>
        </w:rPr>
        <w:t>чная инвестиционная программа………………………………………………...</w:t>
      </w:r>
      <w:r w:rsidR="000D3868">
        <w:rPr>
          <w:sz w:val="22"/>
        </w:rPr>
        <w:t>46</w:t>
      </w:r>
    </w:p>
    <w:p w:rsidR="009C2908" w:rsidRPr="00593B6A" w:rsidRDefault="00616FB5" w:rsidP="00333A48">
      <w:pPr>
        <w:jc w:val="both"/>
        <w:rPr>
          <w:sz w:val="22"/>
        </w:rPr>
      </w:pPr>
      <w:r w:rsidRPr="00616FB5">
        <w:rPr>
          <w:b/>
          <w:i/>
          <w:sz w:val="22"/>
        </w:rPr>
        <w:t xml:space="preserve">Раздел 4. </w:t>
      </w:r>
      <w:r w:rsidR="009C2908" w:rsidRPr="00616FB5">
        <w:rPr>
          <w:b/>
          <w:i/>
          <w:sz w:val="22"/>
        </w:rPr>
        <w:t>Производственный отчет</w:t>
      </w:r>
      <w:r w:rsidR="009C2908" w:rsidRPr="00593B6A">
        <w:rPr>
          <w:sz w:val="22"/>
        </w:rPr>
        <w:t>…</w:t>
      </w:r>
      <w:r>
        <w:rPr>
          <w:sz w:val="22"/>
        </w:rPr>
        <w:t>…………………………………………...………..</w:t>
      </w:r>
      <w:r w:rsidR="003A27A4">
        <w:rPr>
          <w:sz w:val="22"/>
        </w:rPr>
        <w:t>.........</w:t>
      </w:r>
      <w:r w:rsidR="00333A48">
        <w:rPr>
          <w:sz w:val="22"/>
        </w:rPr>
        <w:t>...</w:t>
      </w:r>
      <w:r w:rsidR="003A27A4">
        <w:rPr>
          <w:sz w:val="22"/>
        </w:rPr>
        <w:t>..</w:t>
      </w:r>
      <w:r w:rsidR="00792709">
        <w:rPr>
          <w:sz w:val="22"/>
        </w:rPr>
        <w:t>47</w:t>
      </w:r>
    </w:p>
    <w:p w:rsidR="009C2908" w:rsidRPr="00593B6A" w:rsidRDefault="009C2908" w:rsidP="00333A48">
      <w:pPr>
        <w:ind w:firstLine="567"/>
        <w:jc w:val="both"/>
        <w:rPr>
          <w:sz w:val="22"/>
        </w:rPr>
      </w:pPr>
      <w:r w:rsidRPr="00593B6A">
        <w:rPr>
          <w:sz w:val="22"/>
        </w:rPr>
        <w:t xml:space="preserve">4.1. </w:t>
      </w:r>
      <w:r w:rsidR="003A27A4">
        <w:rPr>
          <w:sz w:val="22"/>
        </w:rPr>
        <w:t>Общая характеристика</w:t>
      </w:r>
      <w:r w:rsidRPr="00593B6A">
        <w:rPr>
          <w:sz w:val="22"/>
        </w:rPr>
        <w:t xml:space="preserve"> </w:t>
      </w:r>
      <w:r w:rsidR="003A27A4">
        <w:rPr>
          <w:sz w:val="22"/>
        </w:rPr>
        <w:t>ОРЭМ……………………………………………………………</w:t>
      </w:r>
      <w:r w:rsidR="00333A48">
        <w:rPr>
          <w:sz w:val="22"/>
        </w:rPr>
        <w:t>.</w:t>
      </w:r>
      <w:r w:rsidR="003A27A4">
        <w:rPr>
          <w:sz w:val="22"/>
        </w:rPr>
        <w:t>...</w:t>
      </w:r>
      <w:r w:rsidRPr="00593B6A">
        <w:rPr>
          <w:sz w:val="22"/>
        </w:rPr>
        <w:t xml:space="preserve"> </w:t>
      </w:r>
      <w:r w:rsidR="00792709">
        <w:rPr>
          <w:sz w:val="22"/>
        </w:rPr>
        <w:t>47</w:t>
      </w:r>
    </w:p>
    <w:p w:rsidR="009C2908" w:rsidRDefault="009C2908" w:rsidP="00333A48">
      <w:pPr>
        <w:ind w:firstLine="1134"/>
        <w:jc w:val="both"/>
        <w:rPr>
          <w:sz w:val="22"/>
        </w:rPr>
      </w:pPr>
      <w:r w:rsidRPr="00593B6A">
        <w:rPr>
          <w:sz w:val="22"/>
        </w:rPr>
        <w:t xml:space="preserve">4.1.1. </w:t>
      </w:r>
      <w:r w:rsidR="003A27A4">
        <w:rPr>
          <w:sz w:val="22"/>
        </w:rPr>
        <w:t>Натуральные показатели деятельности общества на ОРЭМ в 2014 г. ………</w:t>
      </w:r>
      <w:r w:rsidR="00333A48">
        <w:rPr>
          <w:sz w:val="22"/>
        </w:rPr>
        <w:t>..</w:t>
      </w:r>
      <w:r w:rsidR="003A27A4">
        <w:rPr>
          <w:sz w:val="22"/>
        </w:rPr>
        <w:t>...</w:t>
      </w:r>
      <w:r w:rsidR="00792709">
        <w:rPr>
          <w:sz w:val="22"/>
        </w:rPr>
        <w:t>49</w:t>
      </w:r>
    </w:p>
    <w:p w:rsidR="00720709" w:rsidRDefault="00720709" w:rsidP="00333A48">
      <w:pPr>
        <w:ind w:firstLine="1134"/>
        <w:jc w:val="both"/>
        <w:rPr>
          <w:sz w:val="22"/>
        </w:rPr>
      </w:pPr>
      <w:r>
        <w:rPr>
          <w:sz w:val="22"/>
        </w:rPr>
        <w:t>4.1.2. Ценовые показатели оптового и розничного рынков…………………………</w:t>
      </w:r>
      <w:r w:rsidR="00333A48">
        <w:rPr>
          <w:sz w:val="22"/>
        </w:rPr>
        <w:t>..</w:t>
      </w:r>
      <w:r>
        <w:rPr>
          <w:sz w:val="22"/>
        </w:rPr>
        <w:t>...</w:t>
      </w:r>
      <w:r w:rsidR="00792709">
        <w:rPr>
          <w:sz w:val="22"/>
        </w:rPr>
        <w:t>51</w:t>
      </w:r>
    </w:p>
    <w:p w:rsidR="00720709" w:rsidRDefault="00720709" w:rsidP="00333A48">
      <w:pPr>
        <w:ind w:firstLine="1134"/>
        <w:jc w:val="both"/>
        <w:rPr>
          <w:sz w:val="22"/>
        </w:rPr>
      </w:pPr>
      <w:r>
        <w:rPr>
          <w:sz w:val="22"/>
        </w:rPr>
        <w:t>4.1.3. Стоимостные показатели покупки электрической энергии и мощности…….</w:t>
      </w:r>
      <w:r w:rsidR="00333A48">
        <w:rPr>
          <w:sz w:val="22"/>
        </w:rPr>
        <w:t>.</w:t>
      </w:r>
      <w:r>
        <w:rPr>
          <w:sz w:val="22"/>
        </w:rPr>
        <w:t>..</w:t>
      </w:r>
      <w:r w:rsidR="004A1E12">
        <w:rPr>
          <w:sz w:val="22"/>
        </w:rPr>
        <w:t>52</w:t>
      </w:r>
    </w:p>
    <w:p w:rsidR="007D2CA2" w:rsidRDefault="007D2CA2" w:rsidP="00333A48">
      <w:pPr>
        <w:ind w:firstLine="1134"/>
        <w:jc w:val="both"/>
        <w:rPr>
          <w:sz w:val="22"/>
        </w:rPr>
      </w:pPr>
      <w:r>
        <w:rPr>
          <w:sz w:val="22"/>
        </w:rPr>
        <w:t>4.1.4. Динамика расчетов общества с поставщиками электрической энергии и мощности на ОРЭМ в 2012-2014 гг. ………………………………………………………………</w:t>
      </w:r>
      <w:r w:rsidR="00333A48">
        <w:rPr>
          <w:sz w:val="22"/>
        </w:rPr>
        <w:t>..</w:t>
      </w:r>
      <w:r>
        <w:rPr>
          <w:sz w:val="22"/>
        </w:rPr>
        <w:t>….</w:t>
      </w:r>
      <w:r w:rsidR="004A1E12">
        <w:rPr>
          <w:sz w:val="22"/>
        </w:rPr>
        <w:t>52</w:t>
      </w:r>
    </w:p>
    <w:p w:rsidR="007D2CA2" w:rsidRDefault="007D2CA2" w:rsidP="00333A48">
      <w:pPr>
        <w:ind w:firstLine="1134"/>
        <w:jc w:val="both"/>
        <w:rPr>
          <w:sz w:val="22"/>
        </w:rPr>
      </w:pPr>
      <w:r>
        <w:rPr>
          <w:sz w:val="22"/>
        </w:rPr>
        <w:t>4.1.5. Исполнение контрольных показателей оплаты обществом на ОРЭМ в 2014 г. ………………………………………………………………………………………………………</w:t>
      </w:r>
      <w:r w:rsidR="00333A48">
        <w:rPr>
          <w:sz w:val="22"/>
        </w:rPr>
        <w:t>...</w:t>
      </w:r>
      <w:r>
        <w:rPr>
          <w:sz w:val="22"/>
        </w:rPr>
        <w:t>…...</w:t>
      </w:r>
      <w:r w:rsidR="004A1E12">
        <w:rPr>
          <w:sz w:val="22"/>
        </w:rPr>
        <w:t>53</w:t>
      </w:r>
    </w:p>
    <w:p w:rsidR="00B709FE" w:rsidRPr="00593B6A" w:rsidRDefault="007D2CA2" w:rsidP="00333A48">
      <w:pPr>
        <w:ind w:firstLine="1134"/>
        <w:jc w:val="both"/>
        <w:rPr>
          <w:sz w:val="22"/>
        </w:rPr>
      </w:pPr>
      <w:r>
        <w:rPr>
          <w:sz w:val="22"/>
        </w:rPr>
        <w:t>4.1.6. Анализ деятельности общества на ОРЭМ в 2014 г. …………………………</w:t>
      </w:r>
      <w:r w:rsidR="00333A48">
        <w:rPr>
          <w:sz w:val="22"/>
        </w:rPr>
        <w:t>..</w:t>
      </w:r>
      <w:r>
        <w:rPr>
          <w:sz w:val="22"/>
        </w:rPr>
        <w:t>…</w:t>
      </w:r>
      <w:r w:rsidR="004A1E12">
        <w:rPr>
          <w:sz w:val="22"/>
        </w:rPr>
        <w:t>53</w:t>
      </w:r>
    </w:p>
    <w:p w:rsidR="009C2908" w:rsidRPr="00593B6A" w:rsidRDefault="009C2908" w:rsidP="00333A48">
      <w:pPr>
        <w:ind w:firstLine="567"/>
        <w:jc w:val="both"/>
        <w:rPr>
          <w:sz w:val="22"/>
        </w:rPr>
      </w:pPr>
      <w:r w:rsidRPr="00593B6A">
        <w:rPr>
          <w:sz w:val="22"/>
        </w:rPr>
        <w:t>4.2. Организация взаимодействия с по</w:t>
      </w:r>
      <w:r w:rsidR="00B709FE">
        <w:rPr>
          <w:sz w:val="22"/>
        </w:rPr>
        <w:t>требителями услуг…………..………………………</w:t>
      </w:r>
      <w:r w:rsidR="00333A48">
        <w:rPr>
          <w:sz w:val="22"/>
        </w:rPr>
        <w:t>..</w:t>
      </w:r>
      <w:r w:rsidR="004A1E12">
        <w:rPr>
          <w:sz w:val="22"/>
        </w:rPr>
        <w:t>54</w:t>
      </w:r>
    </w:p>
    <w:p w:rsidR="009C2908" w:rsidRDefault="009C2908" w:rsidP="00333A48">
      <w:pPr>
        <w:ind w:firstLine="1134"/>
        <w:jc w:val="both"/>
        <w:rPr>
          <w:sz w:val="22"/>
        </w:rPr>
      </w:pPr>
      <w:r w:rsidRPr="00593B6A">
        <w:rPr>
          <w:sz w:val="22"/>
        </w:rPr>
        <w:t>4.2.1. Расчеты с потребителями</w:t>
      </w:r>
      <w:r w:rsidR="00A939FA">
        <w:rPr>
          <w:sz w:val="22"/>
        </w:rPr>
        <w:t>....…………………………………...……..…………</w:t>
      </w:r>
      <w:r w:rsidR="00333A48">
        <w:rPr>
          <w:sz w:val="22"/>
        </w:rPr>
        <w:t>…</w:t>
      </w:r>
      <w:r w:rsidR="00A939FA">
        <w:rPr>
          <w:sz w:val="22"/>
        </w:rPr>
        <w:t>.</w:t>
      </w:r>
      <w:r w:rsidR="004A1E12">
        <w:rPr>
          <w:sz w:val="22"/>
        </w:rPr>
        <w:t>55</w:t>
      </w:r>
    </w:p>
    <w:p w:rsidR="00B2197C" w:rsidRDefault="00B2197C" w:rsidP="00333A48">
      <w:pPr>
        <w:ind w:firstLine="567"/>
        <w:jc w:val="both"/>
        <w:rPr>
          <w:sz w:val="22"/>
        </w:rPr>
      </w:pPr>
      <w:r>
        <w:rPr>
          <w:sz w:val="22"/>
        </w:rPr>
        <w:t>4.3. Повышение качества обслуживания потребителей электрической энергии………</w:t>
      </w:r>
      <w:r w:rsidR="00333A48">
        <w:rPr>
          <w:sz w:val="22"/>
        </w:rPr>
        <w:t>…</w:t>
      </w:r>
      <w:r>
        <w:rPr>
          <w:sz w:val="22"/>
        </w:rPr>
        <w:t>….</w:t>
      </w:r>
      <w:r w:rsidR="004A1E12">
        <w:rPr>
          <w:sz w:val="22"/>
        </w:rPr>
        <w:t>62</w:t>
      </w:r>
    </w:p>
    <w:p w:rsidR="00851A5D" w:rsidRPr="00593B6A" w:rsidRDefault="00851A5D" w:rsidP="00333A48">
      <w:pPr>
        <w:ind w:firstLine="567"/>
        <w:jc w:val="both"/>
        <w:rPr>
          <w:sz w:val="22"/>
        </w:rPr>
      </w:pPr>
      <w:r>
        <w:rPr>
          <w:sz w:val="22"/>
        </w:rPr>
        <w:t>4.4. Сведения о дополнительных услугах…………………………………………………</w:t>
      </w:r>
      <w:r w:rsidR="00333A48">
        <w:rPr>
          <w:sz w:val="22"/>
        </w:rPr>
        <w:t>…</w:t>
      </w:r>
      <w:r>
        <w:rPr>
          <w:sz w:val="22"/>
        </w:rPr>
        <w:t>….</w:t>
      </w:r>
      <w:r w:rsidR="004A1E12">
        <w:rPr>
          <w:sz w:val="22"/>
        </w:rPr>
        <w:t>65</w:t>
      </w:r>
    </w:p>
    <w:p w:rsidR="009C2908" w:rsidRPr="00593B6A" w:rsidRDefault="005A3C18" w:rsidP="00333A48">
      <w:pPr>
        <w:jc w:val="both"/>
        <w:rPr>
          <w:sz w:val="22"/>
        </w:rPr>
      </w:pPr>
      <w:r w:rsidRPr="005A3C18">
        <w:rPr>
          <w:b/>
          <w:i/>
          <w:sz w:val="22"/>
        </w:rPr>
        <w:t xml:space="preserve">Раздел 5. </w:t>
      </w:r>
      <w:r w:rsidR="009C2908" w:rsidRPr="005A3C18">
        <w:rPr>
          <w:b/>
          <w:i/>
          <w:sz w:val="22"/>
        </w:rPr>
        <w:t>Корпоративное управление</w:t>
      </w:r>
      <w:r w:rsidR="009C2908" w:rsidRPr="00593B6A">
        <w:rPr>
          <w:sz w:val="22"/>
        </w:rPr>
        <w:t>………………………</w:t>
      </w:r>
      <w:r>
        <w:rPr>
          <w:sz w:val="22"/>
        </w:rPr>
        <w:t>...</w:t>
      </w:r>
      <w:r w:rsidR="009C2908" w:rsidRPr="00593B6A">
        <w:rPr>
          <w:sz w:val="22"/>
        </w:rPr>
        <w:t>………..……………</w:t>
      </w:r>
      <w:r>
        <w:rPr>
          <w:sz w:val="22"/>
        </w:rPr>
        <w:t>………</w:t>
      </w:r>
      <w:r w:rsidR="00333A48">
        <w:rPr>
          <w:sz w:val="22"/>
        </w:rPr>
        <w:t>…….</w:t>
      </w:r>
      <w:r>
        <w:rPr>
          <w:sz w:val="22"/>
        </w:rPr>
        <w:t>.…</w:t>
      </w:r>
      <w:r w:rsidR="004A1E12">
        <w:rPr>
          <w:sz w:val="22"/>
        </w:rPr>
        <w:t>65</w:t>
      </w:r>
    </w:p>
    <w:p w:rsidR="009C2908" w:rsidRPr="00593B6A" w:rsidRDefault="008058BE" w:rsidP="00333A48">
      <w:pPr>
        <w:ind w:firstLine="567"/>
        <w:jc w:val="both"/>
        <w:rPr>
          <w:sz w:val="22"/>
        </w:rPr>
      </w:pPr>
      <w:r>
        <w:rPr>
          <w:sz w:val="22"/>
        </w:rPr>
        <w:t>5</w:t>
      </w:r>
      <w:r w:rsidR="009C2908" w:rsidRPr="00593B6A">
        <w:rPr>
          <w:sz w:val="22"/>
        </w:rPr>
        <w:t xml:space="preserve">.1. </w:t>
      </w:r>
      <w:r>
        <w:rPr>
          <w:sz w:val="22"/>
        </w:rPr>
        <w:t>Система корпоративного управления в обществе ……………………………………</w:t>
      </w:r>
      <w:r w:rsidR="00333A48">
        <w:rPr>
          <w:sz w:val="22"/>
        </w:rPr>
        <w:t>…</w:t>
      </w:r>
      <w:r>
        <w:rPr>
          <w:sz w:val="22"/>
        </w:rPr>
        <w:t>...</w:t>
      </w:r>
      <w:r w:rsidR="004A1E12">
        <w:rPr>
          <w:sz w:val="22"/>
        </w:rPr>
        <w:t>65</w:t>
      </w:r>
    </w:p>
    <w:p w:rsidR="009C2908" w:rsidRDefault="008058BE" w:rsidP="00333A48">
      <w:pPr>
        <w:ind w:firstLine="567"/>
        <w:jc w:val="both"/>
        <w:rPr>
          <w:sz w:val="22"/>
        </w:rPr>
      </w:pPr>
      <w:r>
        <w:rPr>
          <w:sz w:val="22"/>
        </w:rPr>
        <w:t>5</w:t>
      </w:r>
      <w:r w:rsidR="009C2908" w:rsidRPr="00593B6A">
        <w:rPr>
          <w:sz w:val="22"/>
        </w:rPr>
        <w:t xml:space="preserve">.2. Органы управления и </w:t>
      </w:r>
      <w:r>
        <w:rPr>
          <w:sz w:val="22"/>
        </w:rPr>
        <w:t>контроля ………………………………………………….……</w:t>
      </w:r>
      <w:r w:rsidR="00333A48">
        <w:rPr>
          <w:sz w:val="22"/>
        </w:rPr>
        <w:t>…</w:t>
      </w:r>
      <w:r>
        <w:rPr>
          <w:sz w:val="22"/>
        </w:rPr>
        <w:t>…</w:t>
      </w:r>
      <w:r w:rsidR="0075673B">
        <w:rPr>
          <w:sz w:val="22"/>
        </w:rPr>
        <w:t>66</w:t>
      </w:r>
    </w:p>
    <w:p w:rsidR="008058BE" w:rsidRDefault="008058BE" w:rsidP="00333A48">
      <w:pPr>
        <w:ind w:firstLine="1134"/>
        <w:jc w:val="both"/>
        <w:rPr>
          <w:sz w:val="22"/>
        </w:rPr>
      </w:pPr>
      <w:r>
        <w:rPr>
          <w:sz w:val="22"/>
        </w:rPr>
        <w:t>5.2.1. Общее собрание акционеров…………………………………………………</w:t>
      </w:r>
      <w:r w:rsidR="00333A48">
        <w:rPr>
          <w:sz w:val="22"/>
        </w:rPr>
        <w:t>….</w:t>
      </w:r>
      <w:r>
        <w:rPr>
          <w:sz w:val="22"/>
        </w:rPr>
        <w:t>....</w:t>
      </w:r>
      <w:r w:rsidR="0075673B">
        <w:rPr>
          <w:sz w:val="22"/>
        </w:rPr>
        <w:t>66</w:t>
      </w:r>
    </w:p>
    <w:p w:rsidR="008058BE" w:rsidRDefault="008058BE" w:rsidP="00333A48">
      <w:pPr>
        <w:ind w:firstLine="1134"/>
        <w:jc w:val="both"/>
        <w:rPr>
          <w:sz w:val="22"/>
        </w:rPr>
      </w:pPr>
      <w:r>
        <w:rPr>
          <w:sz w:val="22"/>
        </w:rPr>
        <w:t>5.2.2. Совет директоров ………………………………………………………………</w:t>
      </w:r>
      <w:r w:rsidR="00333A48">
        <w:rPr>
          <w:sz w:val="22"/>
        </w:rPr>
        <w:t>….</w:t>
      </w:r>
      <w:r>
        <w:rPr>
          <w:sz w:val="22"/>
        </w:rPr>
        <w:t>..</w:t>
      </w:r>
      <w:r w:rsidR="0075673B">
        <w:rPr>
          <w:sz w:val="22"/>
        </w:rPr>
        <w:t>67</w:t>
      </w:r>
    </w:p>
    <w:p w:rsidR="00211DD7" w:rsidRDefault="00211DD7" w:rsidP="00333A48">
      <w:pPr>
        <w:ind w:firstLine="1134"/>
        <w:jc w:val="both"/>
        <w:rPr>
          <w:sz w:val="22"/>
        </w:rPr>
      </w:pPr>
      <w:r>
        <w:rPr>
          <w:sz w:val="22"/>
        </w:rPr>
        <w:t>5.2.3. Генеральный директор…………………………………………………………</w:t>
      </w:r>
      <w:r w:rsidR="00333A48">
        <w:rPr>
          <w:sz w:val="22"/>
        </w:rPr>
        <w:t>…</w:t>
      </w:r>
      <w:r>
        <w:rPr>
          <w:sz w:val="22"/>
        </w:rPr>
        <w:t>...</w:t>
      </w:r>
      <w:r w:rsidR="0075673B">
        <w:rPr>
          <w:sz w:val="22"/>
        </w:rPr>
        <w:t>74</w:t>
      </w:r>
    </w:p>
    <w:p w:rsidR="00211DD7" w:rsidRDefault="00211DD7" w:rsidP="00333A48">
      <w:pPr>
        <w:ind w:firstLine="1134"/>
        <w:jc w:val="both"/>
        <w:rPr>
          <w:sz w:val="22"/>
        </w:rPr>
      </w:pPr>
      <w:r>
        <w:rPr>
          <w:sz w:val="22"/>
        </w:rPr>
        <w:t>5.2.4. Вознаграждение Генерального директора……………………………………</w:t>
      </w:r>
      <w:r w:rsidR="00333A48">
        <w:rPr>
          <w:sz w:val="22"/>
        </w:rPr>
        <w:t>….</w:t>
      </w:r>
      <w:r>
        <w:rPr>
          <w:sz w:val="22"/>
        </w:rPr>
        <w:t>..</w:t>
      </w:r>
      <w:r w:rsidR="0075673B">
        <w:rPr>
          <w:sz w:val="22"/>
        </w:rPr>
        <w:t>75</w:t>
      </w:r>
    </w:p>
    <w:p w:rsidR="00211DD7" w:rsidRDefault="00211DD7" w:rsidP="00333A48">
      <w:pPr>
        <w:ind w:firstLine="1134"/>
        <w:jc w:val="both"/>
        <w:rPr>
          <w:sz w:val="22"/>
        </w:rPr>
      </w:pPr>
      <w:r>
        <w:rPr>
          <w:sz w:val="22"/>
        </w:rPr>
        <w:t>5.2.5. Ревизионная комиссия ………………………………………………………</w:t>
      </w:r>
      <w:r w:rsidR="00333A48">
        <w:rPr>
          <w:sz w:val="22"/>
        </w:rPr>
        <w:t>….</w:t>
      </w:r>
      <w:r>
        <w:rPr>
          <w:sz w:val="22"/>
        </w:rPr>
        <w:t>….</w:t>
      </w:r>
      <w:r w:rsidR="0075673B">
        <w:rPr>
          <w:sz w:val="22"/>
        </w:rPr>
        <w:t>75</w:t>
      </w:r>
    </w:p>
    <w:p w:rsidR="00211DD7" w:rsidRDefault="00211DD7" w:rsidP="00333A48">
      <w:pPr>
        <w:ind w:firstLine="1134"/>
        <w:jc w:val="both"/>
        <w:rPr>
          <w:sz w:val="22"/>
        </w:rPr>
      </w:pPr>
      <w:r>
        <w:rPr>
          <w:sz w:val="22"/>
        </w:rPr>
        <w:t>5.2.6. Аудитор ………………………………………………………………………</w:t>
      </w:r>
      <w:r w:rsidR="00333A48">
        <w:rPr>
          <w:sz w:val="22"/>
        </w:rPr>
        <w:t>…..</w:t>
      </w:r>
      <w:r>
        <w:rPr>
          <w:sz w:val="22"/>
        </w:rPr>
        <w:t>….</w:t>
      </w:r>
      <w:r w:rsidR="00DB0C29">
        <w:rPr>
          <w:sz w:val="22"/>
        </w:rPr>
        <w:t>78</w:t>
      </w:r>
    </w:p>
    <w:p w:rsidR="00211DD7" w:rsidRDefault="00211DD7" w:rsidP="00333A48">
      <w:pPr>
        <w:ind w:firstLine="1134"/>
        <w:jc w:val="both"/>
        <w:rPr>
          <w:sz w:val="22"/>
        </w:rPr>
      </w:pPr>
      <w:r>
        <w:rPr>
          <w:sz w:val="22"/>
        </w:rPr>
        <w:t>5.2.7. Регистратор …………………………………………………………………</w:t>
      </w:r>
      <w:r w:rsidR="00333A48">
        <w:rPr>
          <w:sz w:val="22"/>
        </w:rPr>
        <w:t>…..</w:t>
      </w:r>
      <w:r>
        <w:rPr>
          <w:sz w:val="22"/>
        </w:rPr>
        <w:t>…...</w:t>
      </w:r>
      <w:r w:rsidR="00DB0C29">
        <w:rPr>
          <w:sz w:val="22"/>
        </w:rPr>
        <w:t>79</w:t>
      </w:r>
    </w:p>
    <w:p w:rsidR="00211DD7" w:rsidRPr="00593B6A" w:rsidRDefault="00211DD7" w:rsidP="00333A48">
      <w:pPr>
        <w:ind w:firstLine="567"/>
        <w:jc w:val="both"/>
        <w:rPr>
          <w:sz w:val="22"/>
        </w:rPr>
      </w:pPr>
      <w:r>
        <w:rPr>
          <w:sz w:val="22"/>
        </w:rPr>
        <w:t>5.3. Акционерный капитал ………………………………………………………………</w:t>
      </w:r>
      <w:r w:rsidR="00333A48">
        <w:rPr>
          <w:sz w:val="22"/>
        </w:rPr>
        <w:t>…..</w:t>
      </w:r>
      <w:r>
        <w:rPr>
          <w:sz w:val="22"/>
        </w:rPr>
        <w:t>…..</w:t>
      </w:r>
      <w:r w:rsidR="00DB0C29">
        <w:rPr>
          <w:sz w:val="22"/>
        </w:rPr>
        <w:t>80</w:t>
      </w:r>
    </w:p>
    <w:p w:rsidR="009C2908" w:rsidRPr="00593B6A" w:rsidRDefault="00BC6036" w:rsidP="00333A48">
      <w:pPr>
        <w:jc w:val="both"/>
        <w:rPr>
          <w:sz w:val="22"/>
        </w:rPr>
      </w:pPr>
      <w:r w:rsidRPr="00650B90">
        <w:rPr>
          <w:b/>
          <w:i/>
          <w:sz w:val="22"/>
        </w:rPr>
        <w:t>Раздел 6. Социальный отчет</w:t>
      </w:r>
      <w:r>
        <w:rPr>
          <w:sz w:val="22"/>
        </w:rPr>
        <w:t>……...…………………………………………………………</w:t>
      </w:r>
      <w:r w:rsidR="00333A48">
        <w:rPr>
          <w:sz w:val="22"/>
        </w:rPr>
        <w:t>……..</w:t>
      </w:r>
      <w:r>
        <w:rPr>
          <w:sz w:val="22"/>
        </w:rPr>
        <w:t>…</w:t>
      </w:r>
      <w:r w:rsidR="00E776C2">
        <w:rPr>
          <w:sz w:val="22"/>
        </w:rPr>
        <w:t>83</w:t>
      </w:r>
    </w:p>
    <w:p w:rsidR="009C2908" w:rsidRPr="00593B6A" w:rsidRDefault="00BC6036" w:rsidP="00333A48">
      <w:pPr>
        <w:ind w:firstLine="567"/>
        <w:jc w:val="both"/>
        <w:rPr>
          <w:sz w:val="22"/>
        </w:rPr>
      </w:pPr>
      <w:r>
        <w:rPr>
          <w:sz w:val="22"/>
        </w:rPr>
        <w:t>6</w:t>
      </w:r>
      <w:r w:rsidR="009C2908" w:rsidRPr="00593B6A">
        <w:rPr>
          <w:sz w:val="22"/>
        </w:rPr>
        <w:t>.1. Кадровая и социальная политик</w:t>
      </w:r>
      <w:r>
        <w:rPr>
          <w:sz w:val="22"/>
        </w:rPr>
        <w:t>и Общества………..………..……………………</w:t>
      </w:r>
      <w:r w:rsidR="00333A48">
        <w:rPr>
          <w:sz w:val="22"/>
        </w:rPr>
        <w:t>…..</w:t>
      </w:r>
      <w:r>
        <w:rPr>
          <w:sz w:val="22"/>
        </w:rPr>
        <w:t>…..</w:t>
      </w:r>
      <w:r w:rsidR="00E776C2">
        <w:rPr>
          <w:sz w:val="22"/>
        </w:rPr>
        <w:t>83</w:t>
      </w:r>
    </w:p>
    <w:p w:rsidR="009C2908" w:rsidRPr="00593B6A" w:rsidRDefault="00BC6036" w:rsidP="00333A48">
      <w:pPr>
        <w:ind w:firstLine="567"/>
        <w:jc w:val="both"/>
        <w:rPr>
          <w:sz w:val="22"/>
        </w:rPr>
      </w:pPr>
      <w:r>
        <w:rPr>
          <w:sz w:val="22"/>
        </w:rPr>
        <w:t>6</w:t>
      </w:r>
      <w:r w:rsidR="009C2908" w:rsidRPr="00593B6A">
        <w:rPr>
          <w:sz w:val="22"/>
        </w:rPr>
        <w:t>.2. Численность и структура персонала……………………</w:t>
      </w:r>
      <w:r>
        <w:rPr>
          <w:sz w:val="22"/>
        </w:rPr>
        <w:t>..…………………………</w:t>
      </w:r>
      <w:r w:rsidR="00333A48">
        <w:rPr>
          <w:sz w:val="22"/>
        </w:rPr>
        <w:t>…..</w:t>
      </w:r>
      <w:r>
        <w:rPr>
          <w:sz w:val="22"/>
        </w:rPr>
        <w:t>…..</w:t>
      </w:r>
      <w:r w:rsidR="00E776C2">
        <w:rPr>
          <w:sz w:val="22"/>
        </w:rPr>
        <w:t>84</w:t>
      </w:r>
    </w:p>
    <w:p w:rsidR="009C2908" w:rsidRPr="00593B6A" w:rsidRDefault="00BC6036" w:rsidP="00333A48">
      <w:pPr>
        <w:ind w:firstLine="567"/>
        <w:jc w:val="both"/>
        <w:rPr>
          <w:sz w:val="22"/>
        </w:rPr>
      </w:pPr>
      <w:r>
        <w:rPr>
          <w:sz w:val="22"/>
        </w:rPr>
        <w:t>6</w:t>
      </w:r>
      <w:r w:rsidR="009C2908" w:rsidRPr="00593B6A">
        <w:rPr>
          <w:sz w:val="22"/>
        </w:rPr>
        <w:t>.3. Обучение и развитие перс</w:t>
      </w:r>
      <w:r>
        <w:rPr>
          <w:sz w:val="22"/>
        </w:rPr>
        <w:t>онала………………………..…………………………....</w:t>
      </w:r>
      <w:r w:rsidR="00333A48">
        <w:rPr>
          <w:sz w:val="22"/>
        </w:rPr>
        <w:t>.....</w:t>
      </w:r>
      <w:r>
        <w:rPr>
          <w:sz w:val="22"/>
        </w:rPr>
        <w:t>.....</w:t>
      </w:r>
      <w:r w:rsidR="00E776C2">
        <w:rPr>
          <w:sz w:val="22"/>
        </w:rPr>
        <w:t>87</w:t>
      </w:r>
    </w:p>
    <w:p w:rsidR="009C2908" w:rsidRPr="00593B6A" w:rsidRDefault="00BC6036" w:rsidP="00333A48">
      <w:pPr>
        <w:ind w:firstLine="567"/>
        <w:jc w:val="both"/>
        <w:rPr>
          <w:sz w:val="22"/>
        </w:rPr>
      </w:pPr>
      <w:r>
        <w:rPr>
          <w:sz w:val="22"/>
        </w:rPr>
        <w:t>6</w:t>
      </w:r>
      <w:r w:rsidR="009C2908" w:rsidRPr="00593B6A">
        <w:rPr>
          <w:sz w:val="22"/>
        </w:rPr>
        <w:t>.4. Работа с кадровыми резервами Общества…………………...……………………...</w:t>
      </w:r>
      <w:r>
        <w:rPr>
          <w:sz w:val="22"/>
        </w:rPr>
        <w:t>.</w:t>
      </w:r>
      <w:r w:rsidR="00333A48">
        <w:rPr>
          <w:sz w:val="22"/>
        </w:rPr>
        <w:t>.....</w:t>
      </w:r>
      <w:r>
        <w:rPr>
          <w:sz w:val="22"/>
        </w:rPr>
        <w:t>...</w:t>
      </w:r>
      <w:r w:rsidR="00BB53EC">
        <w:rPr>
          <w:sz w:val="22"/>
        </w:rPr>
        <w:t>89</w:t>
      </w:r>
    </w:p>
    <w:p w:rsidR="009C2908" w:rsidRPr="00593B6A" w:rsidRDefault="00BC6036" w:rsidP="00333A48">
      <w:pPr>
        <w:ind w:firstLine="567"/>
        <w:jc w:val="both"/>
        <w:rPr>
          <w:sz w:val="22"/>
        </w:rPr>
      </w:pPr>
      <w:r>
        <w:rPr>
          <w:sz w:val="22"/>
        </w:rPr>
        <w:t>6</w:t>
      </w:r>
      <w:r w:rsidR="009C2908" w:rsidRPr="00593B6A">
        <w:rPr>
          <w:sz w:val="22"/>
        </w:rPr>
        <w:t>.5. Социальная ответстве</w:t>
      </w:r>
      <w:r>
        <w:rPr>
          <w:sz w:val="22"/>
        </w:rPr>
        <w:t>нность………………………………..………………………</w:t>
      </w:r>
      <w:r w:rsidR="00333A48">
        <w:rPr>
          <w:sz w:val="22"/>
        </w:rPr>
        <w:t>……</w:t>
      </w:r>
      <w:r>
        <w:rPr>
          <w:sz w:val="22"/>
        </w:rPr>
        <w:t>….</w:t>
      </w:r>
      <w:r w:rsidR="00BB53EC">
        <w:rPr>
          <w:sz w:val="22"/>
        </w:rPr>
        <w:t>90</w:t>
      </w:r>
    </w:p>
    <w:p w:rsidR="009C2908" w:rsidRDefault="00650B90" w:rsidP="00333A48">
      <w:pPr>
        <w:ind w:firstLine="567"/>
        <w:jc w:val="both"/>
        <w:rPr>
          <w:sz w:val="22"/>
        </w:rPr>
      </w:pPr>
      <w:r>
        <w:rPr>
          <w:sz w:val="22"/>
        </w:rPr>
        <w:t>6</w:t>
      </w:r>
      <w:r w:rsidR="009C2908" w:rsidRPr="00593B6A">
        <w:rPr>
          <w:sz w:val="22"/>
        </w:rPr>
        <w:t>.6. Ключевые показатели эффективности…………………………..…………</w:t>
      </w:r>
      <w:r>
        <w:rPr>
          <w:sz w:val="22"/>
        </w:rPr>
        <w:t>……...</w:t>
      </w:r>
      <w:r w:rsidR="00333A48">
        <w:rPr>
          <w:sz w:val="22"/>
        </w:rPr>
        <w:t>.......</w:t>
      </w:r>
      <w:r>
        <w:rPr>
          <w:sz w:val="22"/>
        </w:rPr>
        <w:t>......</w:t>
      </w:r>
      <w:r w:rsidR="00BB53EC">
        <w:rPr>
          <w:sz w:val="22"/>
        </w:rPr>
        <w:t>92</w:t>
      </w:r>
    </w:p>
    <w:p w:rsidR="008D5209" w:rsidRDefault="008D5209" w:rsidP="00333A48">
      <w:pPr>
        <w:ind w:firstLine="567"/>
        <w:jc w:val="both"/>
        <w:rPr>
          <w:sz w:val="22"/>
        </w:rPr>
      </w:pPr>
      <w:r>
        <w:rPr>
          <w:sz w:val="22"/>
        </w:rPr>
        <w:t>6.7. Экологическая политика Общества………………………………………………</w:t>
      </w:r>
      <w:r w:rsidR="00333A48">
        <w:rPr>
          <w:sz w:val="22"/>
        </w:rPr>
        <w:t>……</w:t>
      </w:r>
      <w:r>
        <w:rPr>
          <w:sz w:val="22"/>
        </w:rPr>
        <w:t>……</w:t>
      </w:r>
      <w:r w:rsidR="00BB53EC">
        <w:rPr>
          <w:sz w:val="22"/>
        </w:rPr>
        <w:t>92</w:t>
      </w:r>
    </w:p>
    <w:p w:rsidR="00005247" w:rsidRPr="00593B6A" w:rsidRDefault="00005247" w:rsidP="00333A48">
      <w:pPr>
        <w:ind w:firstLine="567"/>
        <w:jc w:val="both"/>
        <w:rPr>
          <w:sz w:val="22"/>
        </w:rPr>
      </w:pPr>
      <w:r>
        <w:rPr>
          <w:sz w:val="22"/>
        </w:rPr>
        <w:lastRenderedPageBreak/>
        <w:t>6.8. Связи с общественностью, органами государтсвенной власти и средствами массовой информации…………………………………………………………………………………………….</w:t>
      </w:r>
      <w:r w:rsidR="00333A48">
        <w:rPr>
          <w:sz w:val="22"/>
        </w:rPr>
        <w:t>..</w:t>
      </w:r>
      <w:r>
        <w:rPr>
          <w:sz w:val="22"/>
        </w:rPr>
        <w:t>.</w:t>
      </w:r>
      <w:r w:rsidR="00AA305C">
        <w:rPr>
          <w:sz w:val="22"/>
        </w:rPr>
        <w:t>94</w:t>
      </w:r>
    </w:p>
    <w:p w:rsidR="009C2908" w:rsidRPr="00593B6A" w:rsidRDefault="00005247" w:rsidP="00333A48">
      <w:pPr>
        <w:jc w:val="both"/>
        <w:rPr>
          <w:sz w:val="22"/>
        </w:rPr>
      </w:pPr>
      <w:r w:rsidRPr="00005247">
        <w:rPr>
          <w:b/>
          <w:i/>
          <w:sz w:val="22"/>
        </w:rPr>
        <w:t>Раздел 7. Приоритетные направления деятельности и п</w:t>
      </w:r>
      <w:r w:rsidR="009C2908" w:rsidRPr="00005247">
        <w:rPr>
          <w:b/>
          <w:i/>
          <w:sz w:val="22"/>
        </w:rPr>
        <w:t>ерспективы развития</w:t>
      </w:r>
      <w:r w:rsidRPr="00005247">
        <w:rPr>
          <w:b/>
          <w:i/>
          <w:sz w:val="22"/>
        </w:rPr>
        <w:t xml:space="preserve"> Общества</w:t>
      </w:r>
      <w:r>
        <w:rPr>
          <w:sz w:val="22"/>
        </w:rPr>
        <w:t xml:space="preserve"> ……………………………………………………………………………………………………………</w:t>
      </w:r>
      <w:r w:rsidR="00333A48">
        <w:rPr>
          <w:sz w:val="22"/>
        </w:rPr>
        <w:t>..</w:t>
      </w:r>
      <w:r w:rsidR="00AA305C">
        <w:rPr>
          <w:sz w:val="22"/>
        </w:rPr>
        <w:t>96</w:t>
      </w:r>
    </w:p>
    <w:p w:rsidR="009C2908" w:rsidRPr="00593B6A" w:rsidRDefault="007E531F" w:rsidP="00333A48">
      <w:pPr>
        <w:ind w:firstLine="567"/>
        <w:jc w:val="both"/>
        <w:rPr>
          <w:sz w:val="22"/>
        </w:rPr>
      </w:pPr>
      <w:r>
        <w:rPr>
          <w:sz w:val="22"/>
        </w:rPr>
        <w:t>7</w:t>
      </w:r>
      <w:r w:rsidR="009C2908" w:rsidRPr="00593B6A">
        <w:rPr>
          <w:sz w:val="22"/>
        </w:rPr>
        <w:t xml:space="preserve">.1. </w:t>
      </w:r>
      <w:r>
        <w:rPr>
          <w:sz w:val="22"/>
        </w:rPr>
        <w:t>Приоритетные направления деятельности…………………………..………….................</w:t>
      </w:r>
      <w:r w:rsidR="00AA305C">
        <w:rPr>
          <w:sz w:val="22"/>
        </w:rPr>
        <w:t>96</w:t>
      </w:r>
    </w:p>
    <w:p w:rsidR="009C2908" w:rsidRDefault="007E531F" w:rsidP="00333A48">
      <w:pPr>
        <w:ind w:firstLine="567"/>
        <w:jc w:val="both"/>
        <w:rPr>
          <w:sz w:val="22"/>
        </w:rPr>
      </w:pPr>
      <w:r>
        <w:rPr>
          <w:sz w:val="22"/>
        </w:rPr>
        <w:t>7.</w:t>
      </w:r>
      <w:r w:rsidR="009C2908" w:rsidRPr="00593B6A">
        <w:rPr>
          <w:sz w:val="22"/>
        </w:rPr>
        <w:t xml:space="preserve">2. </w:t>
      </w:r>
      <w:r>
        <w:rPr>
          <w:sz w:val="22"/>
        </w:rPr>
        <w:t>Перспективы развития Общества…………….……………..……………...........................</w:t>
      </w:r>
      <w:r w:rsidR="003028AA">
        <w:rPr>
          <w:sz w:val="22"/>
        </w:rPr>
        <w:t>97</w:t>
      </w:r>
    </w:p>
    <w:p w:rsidR="007E531F" w:rsidRPr="00593B6A" w:rsidRDefault="007E531F" w:rsidP="00333A48">
      <w:pPr>
        <w:ind w:firstLine="1134"/>
        <w:jc w:val="both"/>
        <w:rPr>
          <w:sz w:val="22"/>
        </w:rPr>
      </w:pPr>
      <w:r>
        <w:rPr>
          <w:sz w:val="22"/>
        </w:rPr>
        <w:t>7.2.1. Перспективы повышения качества обслуживания потребителей……………</w:t>
      </w:r>
      <w:r w:rsidR="00333A48">
        <w:rPr>
          <w:sz w:val="22"/>
        </w:rPr>
        <w:t>.</w:t>
      </w:r>
      <w:r>
        <w:rPr>
          <w:sz w:val="22"/>
        </w:rPr>
        <w:t>…</w:t>
      </w:r>
      <w:r w:rsidR="003028AA">
        <w:rPr>
          <w:sz w:val="22"/>
        </w:rPr>
        <w:t>99</w:t>
      </w:r>
    </w:p>
    <w:p w:rsidR="009C2908" w:rsidRPr="00593B6A" w:rsidRDefault="009C2908" w:rsidP="00333A48">
      <w:pPr>
        <w:jc w:val="both"/>
        <w:rPr>
          <w:sz w:val="22"/>
        </w:rPr>
      </w:pPr>
      <w:r w:rsidRPr="00593B6A">
        <w:rPr>
          <w:sz w:val="22"/>
        </w:rPr>
        <w:t>Контактная информация  …………………………………………………………………….....</w:t>
      </w:r>
      <w:r w:rsidR="007E531F">
        <w:rPr>
          <w:sz w:val="22"/>
        </w:rPr>
        <w:t>..........</w:t>
      </w:r>
      <w:r w:rsidR="003028AA">
        <w:rPr>
          <w:sz w:val="22"/>
        </w:rPr>
        <w:t>101</w:t>
      </w:r>
    </w:p>
    <w:p w:rsidR="009C2908" w:rsidRPr="00593B6A" w:rsidRDefault="009C2908" w:rsidP="00333A48">
      <w:pPr>
        <w:jc w:val="both"/>
        <w:rPr>
          <w:sz w:val="22"/>
        </w:rPr>
      </w:pPr>
      <w:r w:rsidRPr="00593B6A">
        <w:rPr>
          <w:sz w:val="22"/>
        </w:rPr>
        <w:t>Глоссарий……………</w:t>
      </w:r>
      <w:r w:rsidR="007E531F">
        <w:rPr>
          <w:sz w:val="22"/>
        </w:rPr>
        <w:t>…………………………………………………………………………………</w:t>
      </w:r>
      <w:r w:rsidR="00333A48">
        <w:rPr>
          <w:sz w:val="22"/>
        </w:rPr>
        <w:t>.</w:t>
      </w:r>
      <w:r w:rsidR="007E531F">
        <w:rPr>
          <w:sz w:val="22"/>
        </w:rPr>
        <w:t>.</w:t>
      </w:r>
      <w:r w:rsidR="003028AA">
        <w:rPr>
          <w:sz w:val="22"/>
        </w:rPr>
        <w:t>103</w:t>
      </w:r>
    </w:p>
    <w:p w:rsidR="00675DB3" w:rsidRDefault="00675DB3" w:rsidP="009C2908">
      <w:pPr>
        <w:rPr>
          <w:sz w:val="22"/>
        </w:rPr>
      </w:pPr>
    </w:p>
    <w:p w:rsidR="009C2908" w:rsidRDefault="007E531F" w:rsidP="009C2908">
      <w:pPr>
        <w:rPr>
          <w:sz w:val="22"/>
        </w:rPr>
      </w:pPr>
      <w:r>
        <w:rPr>
          <w:sz w:val="22"/>
        </w:rPr>
        <w:t>Приложения к годовому отчету:</w:t>
      </w:r>
    </w:p>
    <w:p w:rsidR="007E531F" w:rsidRDefault="007E531F" w:rsidP="00AE0E97">
      <w:pPr>
        <w:pStyle w:val="a9"/>
        <w:numPr>
          <w:ilvl w:val="0"/>
          <w:numId w:val="36"/>
        </w:numPr>
        <w:rPr>
          <w:sz w:val="22"/>
        </w:rPr>
      </w:pPr>
      <w:r>
        <w:rPr>
          <w:sz w:val="22"/>
        </w:rPr>
        <w:t>Годовая бухгалтерская (финансовая) отчетность по РСБУ за 2014 год;</w:t>
      </w:r>
    </w:p>
    <w:p w:rsidR="007E531F" w:rsidRDefault="002E05E3" w:rsidP="00AE0E97">
      <w:pPr>
        <w:pStyle w:val="a9"/>
        <w:numPr>
          <w:ilvl w:val="0"/>
          <w:numId w:val="36"/>
        </w:numPr>
        <w:rPr>
          <w:sz w:val="22"/>
        </w:rPr>
      </w:pPr>
      <w:r w:rsidRPr="002E05E3">
        <w:rPr>
          <w:sz w:val="22"/>
        </w:rPr>
        <w:t>Аудиторское заключение по финансовой отчетности по РСБУ за 2014 год</w:t>
      </w:r>
      <w:r w:rsidR="00675DB3">
        <w:rPr>
          <w:sz w:val="22"/>
        </w:rPr>
        <w:t>;</w:t>
      </w:r>
    </w:p>
    <w:p w:rsidR="00675DB3" w:rsidRDefault="00A70997" w:rsidP="00AE0E97">
      <w:pPr>
        <w:pStyle w:val="a9"/>
        <w:numPr>
          <w:ilvl w:val="0"/>
          <w:numId w:val="36"/>
        </w:numPr>
        <w:rPr>
          <w:sz w:val="22"/>
        </w:rPr>
      </w:pPr>
      <w:r w:rsidRPr="00A70997">
        <w:rPr>
          <w:rFonts w:eastAsia="TimesNewRomanPSMT"/>
          <w:sz w:val="22"/>
          <w:lang w:eastAsia="en-US"/>
        </w:rPr>
        <w:t>Перечень совершенных в 2014 г. крупных сделок и сделок, в совершении</w:t>
      </w:r>
      <w:r>
        <w:rPr>
          <w:rFonts w:eastAsia="TimesNewRomanPSMT"/>
          <w:sz w:val="22"/>
          <w:lang w:eastAsia="en-US"/>
        </w:rPr>
        <w:t xml:space="preserve"> </w:t>
      </w:r>
      <w:r w:rsidRPr="00A70997">
        <w:rPr>
          <w:rFonts w:eastAsia="TimesNewRomanPSMT"/>
          <w:sz w:val="22"/>
          <w:lang w:eastAsia="en-US"/>
        </w:rPr>
        <w:t>которых имелась заинтересованность</w:t>
      </w:r>
      <w:r w:rsidR="00675DB3">
        <w:rPr>
          <w:sz w:val="22"/>
        </w:rPr>
        <w:t>;</w:t>
      </w:r>
    </w:p>
    <w:p w:rsidR="00675DB3" w:rsidRDefault="00675DB3" w:rsidP="00AE0E97">
      <w:pPr>
        <w:pStyle w:val="a9"/>
        <w:numPr>
          <w:ilvl w:val="0"/>
          <w:numId w:val="36"/>
        </w:numPr>
        <w:rPr>
          <w:sz w:val="22"/>
        </w:rPr>
      </w:pPr>
      <w:r>
        <w:rPr>
          <w:sz w:val="22"/>
        </w:rPr>
        <w:t>Участие Общества в коммерческих организациях;</w:t>
      </w:r>
    </w:p>
    <w:p w:rsidR="00675DB3" w:rsidRPr="007E531F" w:rsidRDefault="00675DB3" w:rsidP="00AE0E97">
      <w:pPr>
        <w:pStyle w:val="a9"/>
        <w:numPr>
          <w:ilvl w:val="0"/>
          <w:numId w:val="36"/>
        </w:numPr>
        <w:rPr>
          <w:sz w:val="22"/>
        </w:rPr>
      </w:pPr>
      <w:r>
        <w:rPr>
          <w:sz w:val="22"/>
        </w:rPr>
        <w:t>Участие Общества в некоммерческих организациях.</w:t>
      </w:r>
    </w:p>
    <w:p w:rsidR="009C2908" w:rsidRPr="00723D99" w:rsidRDefault="009C2908" w:rsidP="009C2908">
      <w:pPr>
        <w:spacing w:before="100" w:beforeAutospacing="1" w:after="100" w:afterAutospacing="1"/>
        <w:jc w:val="both"/>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9C2908" w:rsidRDefault="009C2908" w:rsidP="00D94CFD">
      <w:pPr>
        <w:spacing w:before="100" w:beforeAutospacing="1" w:after="100" w:afterAutospacing="1"/>
        <w:jc w:val="center"/>
        <w:rPr>
          <w:b/>
        </w:rPr>
      </w:pPr>
    </w:p>
    <w:p w:rsidR="00E001BD" w:rsidRDefault="00E001BD" w:rsidP="00D94CFD">
      <w:pPr>
        <w:spacing w:before="100" w:beforeAutospacing="1" w:after="100" w:afterAutospacing="1"/>
        <w:jc w:val="center"/>
        <w:rPr>
          <w:b/>
        </w:rPr>
      </w:pPr>
    </w:p>
    <w:p w:rsidR="00E001BD" w:rsidRDefault="00E001BD" w:rsidP="00D94CFD">
      <w:pPr>
        <w:spacing w:before="100" w:beforeAutospacing="1" w:after="100" w:afterAutospacing="1"/>
        <w:jc w:val="center"/>
        <w:rPr>
          <w:b/>
        </w:rPr>
      </w:pPr>
    </w:p>
    <w:p w:rsidR="00E001BD" w:rsidRDefault="00E001BD" w:rsidP="00D94CFD">
      <w:pPr>
        <w:spacing w:before="100" w:beforeAutospacing="1" w:after="100" w:afterAutospacing="1"/>
        <w:jc w:val="center"/>
        <w:rPr>
          <w:b/>
        </w:rPr>
      </w:pPr>
    </w:p>
    <w:p w:rsidR="00E001BD" w:rsidRDefault="00E001BD" w:rsidP="00D94CFD">
      <w:pPr>
        <w:spacing w:before="100" w:beforeAutospacing="1" w:after="100" w:afterAutospacing="1"/>
        <w:jc w:val="center"/>
        <w:rPr>
          <w:b/>
        </w:rPr>
      </w:pPr>
    </w:p>
    <w:p w:rsidR="00E001BD" w:rsidRDefault="00E001BD" w:rsidP="00D94CFD">
      <w:pPr>
        <w:spacing w:before="100" w:beforeAutospacing="1" w:after="100" w:afterAutospacing="1"/>
        <w:jc w:val="center"/>
        <w:rPr>
          <w:b/>
        </w:rPr>
      </w:pPr>
    </w:p>
    <w:p w:rsidR="00D94CFD" w:rsidRPr="00D94CFD" w:rsidRDefault="00D94CFD" w:rsidP="00D94CFD">
      <w:pPr>
        <w:spacing w:before="100" w:beforeAutospacing="1" w:after="100" w:afterAutospacing="1"/>
        <w:jc w:val="center"/>
        <w:rPr>
          <w:b/>
        </w:rPr>
      </w:pPr>
      <w:r w:rsidRPr="00D94CFD">
        <w:rPr>
          <w:b/>
        </w:rPr>
        <w:lastRenderedPageBreak/>
        <w:t xml:space="preserve">Обращение </w:t>
      </w:r>
      <w:r w:rsidR="008875C1">
        <w:rPr>
          <w:b/>
        </w:rPr>
        <w:t xml:space="preserve">к акционерам </w:t>
      </w:r>
      <w:r w:rsidRPr="00D94CFD">
        <w:rPr>
          <w:b/>
        </w:rPr>
        <w:t>Председателя Совета директоров ОАО «Каббалкэнерго»</w:t>
      </w:r>
    </w:p>
    <w:p w:rsidR="00D94CFD" w:rsidRPr="00D94CFD" w:rsidRDefault="00D94CFD" w:rsidP="00D94CFD">
      <w:pPr>
        <w:suppressAutoHyphens/>
        <w:spacing w:before="100" w:beforeAutospacing="1" w:after="100" w:afterAutospacing="1"/>
        <w:jc w:val="center"/>
      </w:pPr>
      <w:r w:rsidRPr="00D94CFD">
        <w:t>Уважаемые акционеры!</w:t>
      </w:r>
    </w:p>
    <w:p w:rsidR="00D94CFD" w:rsidRPr="00D94CFD" w:rsidRDefault="00D94CFD" w:rsidP="00D94CFD">
      <w:pPr>
        <w:ind w:firstLine="709"/>
        <w:jc w:val="both"/>
      </w:pPr>
      <w:r w:rsidRPr="00D94CFD">
        <w:t>В отчетном 2014 году Советом директоров проведено 18 заседаний, на которых рассмотрены вопросы, связанные, как со стратегией развития Общества на долгосрочную перспективу и улучшением его финансового состояния, так и с решением оперативных задач. Особое внимание на заседаниях Совета директоров уделялось вопросам приоритетных направлений деятельности Общества и совершенствования корпоративного управления.</w:t>
      </w:r>
    </w:p>
    <w:p w:rsidR="00D94CFD" w:rsidRPr="00D94CFD" w:rsidRDefault="00D94CFD" w:rsidP="00D94CFD">
      <w:pPr>
        <w:ind w:firstLine="709"/>
        <w:jc w:val="both"/>
      </w:pPr>
      <w:r w:rsidRPr="00D94CFD">
        <w:t>В течение 2014 года Советом директоров были приняты следующие ключевые решения:</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утверждена Годовая комплексная программа конкурсных и регламентированных внеконкурсных закупок Общества на 2014 год (решение от 31.01.2014, Протокол от 03.02.2014 №128);</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состав Центрального закупочного органа Общества (решение от 06.02.2014, Протокол от 06.02.2014 №129);</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внутренний документ Общества: Антикоррупционная политика ОАО «Каббалкэнерго»  (решение от 03.04.2014, Протокол от 07.04.2014 № 132);</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План перспективного развития ОАО «Каббалкэнерго» на 2014-2022гг.</w:t>
      </w:r>
      <w:r w:rsidRPr="00D94CFD">
        <w:t xml:space="preserve"> </w:t>
      </w:r>
      <w:r w:rsidRPr="00D94CFD">
        <w:rPr>
          <w:color w:val="000000"/>
          <w:lang w:eastAsia="ar-SA"/>
        </w:rPr>
        <w:t>(решение от 03.04.2014, Протокол от 07.04.2014 № 132);</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утверждена организационная структура исполнительного аппарата Общества</w:t>
      </w:r>
      <w:r w:rsidRPr="00D94CFD">
        <w:t xml:space="preserve"> </w:t>
      </w:r>
      <w:r w:rsidRPr="00D94CFD">
        <w:rPr>
          <w:color w:val="000000"/>
          <w:lang w:eastAsia="ar-SA"/>
        </w:rPr>
        <w:t xml:space="preserve">(решение от 19.06.2014, Протокол от 20.06.2014 № 138); </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внутренний документ Общества - Регламент размещения временно свободных денежных средств Общества (решение от 19.06.2014, Протокол от 20.06.2014 № 138);</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порядок расчета лимитов стоимостных параметров заимствования (решение от 06.08.2014, Протокол от 08.08.2014 №140);</w:t>
      </w:r>
    </w:p>
    <w:p w:rsidR="00D94CFD" w:rsidRPr="00D94CFD" w:rsidRDefault="00D94CFD" w:rsidP="00D94CFD">
      <w:pPr>
        <w:suppressAutoHyphens/>
        <w:ind w:firstLine="709"/>
        <w:jc w:val="both"/>
        <w:rPr>
          <w:color w:val="000000"/>
          <w:lang w:eastAsia="ar-SA"/>
        </w:rPr>
      </w:pPr>
      <w:r w:rsidRPr="00D94CFD">
        <w:rPr>
          <w:color w:val="000000"/>
          <w:lang w:eastAsia="ar-SA"/>
        </w:rPr>
        <w:t>- совершенствование системы внутреннего контроля и управления рисками, развитие функции внутреннего аудита определены приоритетными направлениями деятельности Общества (решение от 02.10.2014, Протокол от 03.10.2014 № 142);</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внутренний документ Общества: Политика внутреннего контроля ОАО «Каббалкэнерго» (решение от 02.10.2014, Протокол от 03.10.2014 № 142);</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внутренний документ Общества: Политика внутреннего аудита ОАО «Каббалкэнерго» (решение от 02.10.2014, Протокол от 03.10.2014 № 142);</w:t>
      </w:r>
    </w:p>
    <w:p w:rsidR="00D94CFD" w:rsidRPr="00D94CFD" w:rsidRDefault="00D94CFD" w:rsidP="00D94CFD">
      <w:pPr>
        <w:suppressAutoHyphens/>
        <w:ind w:firstLine="709"/>
        <w:jc w:val="both"/>
        <w:rPr>
          <w:color w:val="000000"/>
          <w:lang w:eastAsia="ar-SA"/>
        </w:rPr>
      </w:pPr>
      <w:r w:rsidRPr="00D94CFD">
        <w:rPr>
          <w:color w:val="000000"/>
          <w:lang w:eastAsia="ar-SA"/>
        </w:rPr>
        <w:t>- утвержден бизнес-план Общества, включающий инвестиционную программу,  на 2015 год и прогноза на  2016-2019 гг.</w:t>
      </w:r>
      <w:r w:rsidRPr="00D94CFD">
        <w:t xml:space="preserve"> </w:t>
      </w:r>
      <w:r w:rsidRPr="00D94CFD">
        <w:rPr>
          <w:color w:val="000000"/>
          <w:lang w:eastAsia="ar-SA"/>
        </w:rPr>
        <w:t>(решение от 30.12.2014, Протокол от 13.01.2015 № 145);</w:t>
      </w:r>
    </w:p>
    <w:p w:rsidR="00D94CFD" w:rsidRPr="00D94CFD" w:rsidRDefault="00D94CFD" w:rsidP="00D94CFD">
      <w:pPr>
        <w:suppressAutoHyphens/>
        <w:ind w:firstLine="709"/>
        <w:jc w:val="both"/>
        <w:rPr>
          <w:lang w:eastAsia="ar-SA"/>
        </w:rPr>
      </w:pPr>
      <w:r w:rsidRPr="00D94CFD">
        <w:rPr>
          <w:color w:val="000000"/>
          <w:lang w:eastAsia="ar-SA"/>
        </w:rPr>
        <w:t>- утвержден внутренний документ Общества: Антикоррупционная политика ОАО «Россети» и ДЗО ОАО «Россети»  (решение от 30.12.2014, Протокол от 13.01.2015 № 145)</w:t>
      </w:r>
      <w:r w:rsidRPr="00D94CFD">
        <w:rPr>
          <w:lang w:eastAsia="ar-SA"/>
        </w:rPr>
        <w:t>.</w:t>
      </w:r>
    </w:p>
    <w:p w:rsidR="00D94CFD" w:rsidRPr="00D94CFD" w:rsidRDefault="00D94CFD" w:rsidP="00D94CFD">
      <w:pPr>
        <w:ind w:firstLine="709"/>
        <w:jc w:val="both"/>
      </w:pPr>
    </w:p>
    <w:p w:rsidR="00D94CFD" w:rsidRPr="00D94CFD" w:rsidRDefault="00D94CFD" w:rsidP="00D94CFD">
      <w:pPr>
        <w:autoSpaceDE w:val="0"/>
        <w:autoSpaceDN w:val="0"/>
        <w:adjustRightInd w:val="0"/>
        <w:ind w:firstLine="709"/>
        <w:jc w:val="both"/>
      </w:pPr>
      <w:r w:rsidRPr="00D94CFD">
        <w:t>В 2015 году Совет директоров ставит перед собой задачи по дальнейшему повышению операционной эффективности Компании, надежности и качества обслуживания потребителей, развитию корпоративной культуры.</w:t>
      </w:r>
    </w:p>
    <w:p w:rsidR="00D94CFD" w:rsidRPr="00D94CFD" w:rsidRDefault="00D94CFD" w:rsidP="00D94CFD">
      <w:pPr>
        <w:suppressAutoHyphens/>
        <w:ind w:firstLine="709"/>
        <w:jc w:val="both"/>
      </w:pPr>
    </w:p>
    <w:p w:rsidR="00D94CFD" w:rsidRPr="00D94CFD" w:rsidRDefault="00D94CFD" w:rsidP="00D94CFD">
      <w:pPr>
        <w:suppressAutoHyphens/>
        <w:ind w:firstLine="709"/>
        <w:jc w:val="both"/>
      </w:pPr>
      <w:r w:rsidRPr="00D94CFD">
        <w:t>Решение указанных задач создаст предпосылки для наиболее полной реализации интересов акционеров Общества за счет его прибыльной работы и повышения капитализации.</w:t>
      </w:r>
    </w:p>
    <w:p w:rsidR="00D94CFD" w:rsidRPr="00D94CFD" w:rsidRDefault="00D94CFD" w:rsidP="00D94CFD">
      <w:pPr>
        <w:ind w:firstLine="709"/>
        <w:jc w:val="both"/>
      </w:pPr>
    </w:p>
    <w:p w:rsidR="00D94CFD" w:rsidRPr="008875C1" w:rsidRDefault="00D94CFD" w:rsidP="00D94CFD">
      <w:pPr>
        <w:jc w:val="both"/>
        <w:rPr>
          <w:i/>
        </w:rPr>
      </w:pPr>
      <w:r w:rsidRPr="008875C1">
        <w:rPr>
          <w:i/>
        </w:rPr>
        <w:t>С уважением,</w:t>
      </w:r>
    </w:p>
    <w:p w:rsidR="00D94CFD" w:rsidRPr="008875C1" w:rsidRDefault="00D94CFD" w:rsidP="00D94CFD">
      <w:pPr>
        <w:suppressAutoHyphens/>
        <w:jc w:val="both"/>
        <w:rPr>
          <w:i/>
        </w:rPr>
      </w:pPr>
      <w:r w:rsidRPr="008875C1">
        <w:rPr>
          <w:i/>
        </w:rPr>
        <w:t xml:space="preserve">Председатель Совета директоров </w:t>
      </w:r>
    </w:p>
    <w:p w:rsidR="00D94CFD" w:rsidRPr="008875C1" w:rsidRDefault="00D94CFD" w:rsidP="00D94CFD">
      <w:pPr>
        <w:rPr>
          <w:i/>
        </w:rPr>
      </w:pPr>
      <w:r w:rsidRPr="008875C1">
        <w:rPr>
          <w:i/>
        </w:rPr>
        <w:t>ОАО «Каббалкэнерго»                                                                                               А.В. Раков</w:t>
      </w:r>
    </w:p>
    <w:p w:rsidR="00527405" w:rsidRPr="00527405" w:rsidRDefault="00527405" w:rsidP="00527405">
      <w:pPr>
        <w:suppressAutoHyphens/>
        <w:jc w:val="center"/>
        <w:rPr>
          <w:b/>
          <w:bCs/>
        </w:rPr>
      </w:pPr>
      <w:r w:rsidRPr="00527405">
        <w:rPr>
          <w:b/>
          <w:bCs/>
        </w:rPr>
        <w:lastRenderedPageBreak/>
        <w:t xml:space="preserve">Обращение </w:t>
      </w:r>
      <w:r w:rsidR="008875C1">
        <w:rPr>
          <w:b/>
          <w:bCs/>
        </w:rPr>
        <w:t xml:space="preserve">к акционерам </w:t>
      </w:r>
      <w:r w:rsidRPr="00527405">
        <w:rPr>
          <w:b/>
          <w:bCs/>
        </w:rPr>
        <w:t>Генерального директора ОАО «Каббалкэнерго»</w:t>
      </w:r>
    </w:p>
    <w:p w:rsidR="00527405" w:rsidRPr="00527405" w:rsidRDefault="00527405" w:rsidP="00527405">
      <w:pPr>
        <w:suppressAutoHyphens/>
        <w:jc w:val="center"/>
        <w:rPr>
          <w:b/>
          <w:bCs/>
        </w:rPr>
      </w:pPr>
    </w:p>
    <w:p w:rsidR="00527405" w:rsidRPr="00527405" w:rsidRDefault="00527405" w:rsidP="00527405">
      <w:pPr>
        <w:suppressAutoHyphens/>
        <w:ind w:left="360"/>
        <w:jc w:val="center"/>
      </w:pPr>
      <w:r w:rsidRPr="00527405">
        <w:t>Уважаемые акционеры и клиенты компании!</w:t>
      </w:r>
    </w:p>
    <w:p w:rsidR="00527405" w:rsidRPr="00527405" w:rsidRDefault="00527405" w:rsidP="00527405">
      <w:pPr>
        <w:suppressAutoHyphens/>
        <w:ind w:left="360"/>
        <w:jc w:val="center"/>
      </w:pPr>
    </w:p>
    <w:p w:rsidR="00527405" w:rsidRPr="00527405" w:rsidRDefault="00527405" w:rsidP="00527405">
      <w:pPr>
        <w:spacing w:after="240"/>
        <w:ind w:firstLine="709"/>
        <w:jc w:val="both"/>
      </w:pPr>
      <w:r w:rsidRPr="00527405">
        <w:t>ОАО «Каббалкэнерго» входит в группу компаний ОАО «Российские сети» - крупнейшую инфраструктурную организацию России и одну из крупнейших электросетевых компаний в мире. </w:t>
      </w:r>
    </w:p>
    <w:p w:rsidR="00527405" w:rsidRPr="00527405" w:rsidRDefault="00527405" w:rsidP="00527405">
      <w:pPr>
        <w:ind w:firstLine="709"/>
        <w:jc w:val="both"/>
      </w:pPr>
      <w:r w:rsidRPr="00527405">
        <w:t>С 2006 года ОАО «Каббалкэнерго» осуществляет энергосбытовую  деятельность как гарантирующий поставщик электроэнергии на территории Кабардино-Балкарской Республики, и является одной из передовых и развивающихся энергосбытовых компаний на Северном Кавказе. В условиях сложного и длительно продолжающегося до настоящего момента реформирования электроэнергетики России, ОАО «Каббалкэнерго» участвовало во всех происходящих процессах и во многих из них успешно.</w:t>
      </w:r>
    </w:p>
    <w:p w:rsidR="00527405" w:rsidRPr="00527405" w:rsidRDefault="00527405" w:rsidP="00527405">
      <w:pPr>
        <w:tabs>
          <w:tab w:val="left" w:pos="993"/>
        </w:tabs>
        <w:ind w:firstLine="709"/>
        <w:jc w:val="both"/>
      </w:pPr>
      <w:r w:rsidRPr="00527405">
        <w:t>Успешно завершен и 2014 год. В прошедшем году деятельность                             ОАО «Каббалкэнерго» была направлена на оптимизацию работы на рынках электрической энергии и мощности. Особое внимание уделялось решению таких вопросов, как повышение эффективности деятельности компании на розничных рынках, улучшение организации энергосбытовой деятельности, расширение клиентской базы, снижение дебиторской и кредиторской задолженности, повышение качества обслуживания клиентов, совершенствование системы внутреннего контроля и управления рисками.</w:t>
      </w:r>
    </w:p>
    <w:p w:rsidR="00527405" w:rsidRPr="00527405" w:rsidRDefault="00527405" w:rsidP="00527405">
      <w:pPr>
        <w:ind w:firstLine="709"/>
        <w:jc w:val="both"/>
        <w:rPr>
          <w:highlight w:val="yellow"/>
        </w:rPr>
      </w:pPr>
      <w:r w:rsidRPr="00527405">
        <w:t>По итогам 2014 года достигнуты положительные результаты деятельности Общества. Потребление электроэнергии по региону составило 1544,0 млн. кВт.ч, из них отпущено конечным потребителям - 1 101 млн. кВт.ч, сетевым компаниям на компенсацию потерь – 443 млн. кВт.ч. Энергопотребление региона ежегодно увеличивается, что приводит к увеличению доходов Общества. Выручка от продажи электрической энергии и мощности увеличилась по сравнению с 2013 годом на 25% и составила 3 млрд. 714 млн. руб. Получена чистая прибыль в размере 19,1 млн. руб.</w:t>
      </w:r>
    </w:p>
    <w:p w:rsidR="00527405" w:rsidRPr="00527405" w:rsidRDefault="00527405" w:rsidP="00527405">
      <w:pPr>
        <w:suppressAutoHyphens/>
        <w:ind w:firstLine="709"/>
        <w:jc w:val="both"/>
      </w:pPr>
    </w:p>
    <w:p w:rsidR="00527405" w:rsidRPr="00527405" w:rsidRDefault="00527405" w:rsidP="00527405">
      <w:pPr>
        <w:tabs>
          <w:tab w:val="num" w:pos="0"/>
        </w:tabs>
        <w:suppressAutoHyphens/>
        <w:ind w:firstLine="709"/>
        <w:jc w:val="both"/>
      </w:pPr>
      <w:r w:rsidRPr="00527405">
        <w:t>Вследствие эффективной организации работы на оптовом и розничных рынках электроэнергии получена прибыль от продаж в размере 89,5 млн. руб. и обеспечена положительная рентабельность операционной деятельности - 2,4%. Выполнены все обязательства перед бюджетом по налоговым платежам. Суммарно оплачено по всем налогам в бюджеты разных уровней 111,7 млн. руб., во внебюджетные фонды 51,9 млн. руб.</w:t>
      </w:r>
    </w:p>
    <w:p w:rsidR="00527405" w:rsidRPr="00527405" w:rsidRDefault="00527405" w:rsidP="00527405">
      <w:pPr>
        <w:tabs>
          <w:tab w:val="num" w:pos="0"/>
        </w:tabs>
        <w:suppressAutoHyphens/>
        <w:ind w:firstLine="709"/>
        <w:jc w:val="both"/>
      </w:pPr>
      <w:r w:rsidRPr="00527405">
        <w:t>Контрольные показатели оплаты на ОРЭМ, установленные в 2014 году для ОАО «Каббалкэнерго» выполнены. На протяжении последних четырех лет уровень расчетов с поставщиками на оптовом рынке электрической энергии и мощности составляет 100 и более процентов, а в 2014 году составил – 100,8% (в 2013 году – 110%, в 2012 – 111%, в 2011 – 117%).</w:t>
      </w:r>
    </w:p>
    <w:p w:rsidR="00527405" w:rsidRPr="00527405" w:rsidRDefault="00527405" w:rsidP="00527405">
      <w:pPr>
        <w:tabs>
          <w:tab w:val="num" w:pos="0"/>
        </w:tabs>
        <w:suppressAutoHyphens/>
        <w:ind w:firstLine="709"/>
        <w:jc w:val="both"/>
      </w:pPr>
      <w:r w:rsidRPr="00527405">
        <w:t xml:space="preserve">В соответствии с особенностями функционирования оптового и розничных рынков, установленных для отдельных частей ценовых зон оптового рынка, к территориям которых относится и территория Кабардино-Балкарской Республики (Постановление Правительства РФ от 27.12.2010 № 1172), ОАО «Каббалкэнерго» приобретало весь объем электрической энергии и мощности, учтенный в прогнозном балансе  по регулируемым договорам, что оказало положительное влияние на снижение ценовой нагрузки на конечных потребителей. </w:t>
      </w:r>
    </w:p>
    <w:p w:rsidR="00527405" w:rsidRPr="00527405" w:rsidRDefault="00527405" w:rsidP="00527405">
      <w:pPr>
        <w:tabs>
          <w:tab w:val="num" w:pos="0"/>
        </w:tabs>
        <w:suppressAutoHyphens/>
        <w:ind w:firstLine="709"/>
        <w:jc w:val="both"/>
      </w:pPr>
      <w:r w:rsidRPr="00527405">
        <w:t xml:space="preserve">Стоит также отметить, что </w:t>
      </w:r>
      <w:r w:rsidRPr="00527405">
        <w:rPr>
          <w:rFonts w:eastAsia="Calibri"/>
        </w:rPr>
        <w:t xml:space="preserve">федеральным законом от 29.12.2014 № 466 для покупателей электрической энергии (мощности), функционирующих в отдельных частях ценовых зон оптового рынка, с 1 января 2015 года продлены особые условия функционирования оптового и розничного рынков электрической энергии и мощности с </w:t>
      </w:r>
      <w:r w:rsidRPr="00527405">
        <w:rPr>
          <w:rFonts w:eastAsia="Calibri"/>
        </w:rPr>
        <w:lastRenderedPageBreak/>
        <w:t xml:space="preserve">постепенным доведением </w:t>
      </w:r>
      <w:r w:rsidRPr="00527405">
        <w:rPr>
          <w:rFonts w:eastAsia="Calibri"/>
          <w:lang w:eastAsia="en-US"/>
        </w:rPr>
        <w:t>на указанных территориях регулируемых цен (тарифов) на электрическую энергию до экономически обоснованного уровня</w:t>
      </w:r>
      <w:r w:rsidRPr="00527405">
        <w:rPr>
          <w:rFonts w:eastAsia="Calibri"/>
        </w:rPr>
        <w:t>.</w:t>
      </w:r>
    </w:p>
    <w:p w:rsidR="00527405" w:rsidRPr="00527405" w:rsidRDefault="00527405" w:rsidP="00527405">
      <w:pPr>
        <w:tabs>
          <w:tab w:val="left" w:pos="9854"/>
        </w:tabs>
        <w:suppressAutoHyphens/>
        <w:ind w:firstLine="709"/>
        <w:jc w:val="both"/>
      </w:pPr>
      <w:r w:rsidRPr="00527405">
        <w:t>Немаловажным является то, что в 2014 году Общество продолжило работу по улучшению качества обслуживания клиентов. Открыты 6 центров обслуживания клиентов, из них 2 в городе Нальчик, и 4 в районных центрах Кабардино-Балкарской Республики. В рамках мероприятий по повышению качества обслуживания клиентов в отчетном году также расширены возможности для осуществления платежей за потребленную электроэнергию с помощью сети Интернет, а для удобства клиентов-потребителей электрической энергии на сайте ОАО «Каббалкэнерго» созданы личные кабинеты для физических лиц и юридических лиц. Также для клиентов компании функционирует горячая линия по всем вопросам энергоснабжения.</w:t>
      </w:r>
    </w:p>
    <w:p w:rsidR="00527405" w:rsidRPr="00527405" w:rsidRDefault="00527405" w:rsidP="00527405">
      <w:pPr>
        <w:tabs>
          <w:tab w:val="left" w:pos="9854"/>
        </w:tabs>
        <w:suppressAutoHyphens/>
        <w:ind w:firstLine="709"/>
        <w:jc w:val="both"/>
      </w:pPr>
      <w:r w:rsidRPr="00527405">
        <w:t>Учитывая вышеизложенное, можно сказать, что по итогам 2014 года ОАО «Каббалкэнерго» имеет положительные результаты деятельности, которые подтверждают позитивную динамику работы компании на протяжении последних лет. Вместе с этим</w:t>
      </w:r>
      <w:r w:rsidRPr="00527405">
        <w:rPr>
          <w:color w:val="FF0000"/>
        </w:rPr>
        <w:t>,</w:t>
      </w:r>
      <w:r w:rsidRPr="00527405">
        <w:t xml:space="preserve"> сохранение и улучшение этих результатов является одной из самых важных производственных задач для Общества в предстоящие годы. В 2015 году и на перспективу до 2019 года перед Обществом стоят следующие первостепенные задачи:</w:t>
      </w:r>
    </w:p>
    <w:p w:rsidR="00527405" w:rsidRPr="00527405" w:rsidRDefault="00527405" w:rsidP="00AE0E97">
      <w:pPr>
        <w:numPr>
          <w:ilvl w:val="0"/>
          <w:numId w:val="11"/>
        </w:numPr>
        <w:tabs>
          <w:tab w:val="left" w:pos="993"/>
        </w:tabs>
        <w:ind w:left="0" w:firstLine="709"/>
        <w:jc w:val="both"/>
      </w:pPr>
      <w:r w:rsidRPr="00527405">
        <w:t>обеспечение безубыточности деятельности Общества и улучшение его финансового состояния;</w:t>
      </w:r>
    </w:p>
    <w:p w:rsidR="00527405" w:rsidRPr="00527405" w:rsidRDefault="00527405" w:rsidP="00AE0E97">
      <w:pPr>
        <w:numPr>
          <w:ilvl w:val="0"/>
          <w:numId w:val="11"/>
        </w:numPr>
        <w:tabs>
          <w:tab w:val="left" w:pos="993"/>
        </w:tabs>
        <w:ind w:left="0" w:firstLine="709"/>
        <w:jc w:val="both"/>
      </w:pPr>
      <w:r w:rsidRPr="00527405">
        <w:t>повышение качества обслуживания потребителей электроэнергии;</w:t>
      </w:r>
    </w:p>
    <w:p w:rsidR="00527405" w:rsidRPr="00527405" w:rsidRDefault="00527405" w:rsidP="00AE0E97">
      <w:pPr>
        <w:numPr>
          <w:ilvl w:val="0"/>
          <w:numId w:val="11"/>
        </w:numPr>
        <w:tabs>
          <w:tab w:val="left" w:pos="993"/>
        </w:tabs>
        <w:ind w:left="0" w:firstLine="709"/>
        <w:jc w:val="both"/>
      </w:pPr>
      <w:r w:rsidRPr="00527405">
        <w:t>обеспечение полной и своевременной оплаты текущего потребления электроэнергии, а также планомерное погашение кредиторской задолженности перед поставщиками оптового рынка электроэнергии и мощности.</w:t>
      </w:r>
    </w:p>
    <w:p w:rsidR="00527405" w:rsidRPr="00527405" w:rsidRDefault="00527405" w:rsidP="00527405">
      <w:pPr>
        <w:ind w:left="720"/>
        <w:jc w:val="both"/>
      </w:pPr>
    </w:p>
    <w:p w:rsidR="00527405" w:rsidRPr="00527405" w:rsidRDefault="00527405" w:rsidP="00527405">
      <w:pPr>
        <w:ind w:left="720"/>
        <w:jc w:val="both"/>
      </w:pPr>
    </w:p>
    <w:p w:rsidR="00527405" w:rsidRPr="00527405" w:rsidRDefault="00527405" w:rsidP="00527405">
      <w:pPr>
        <w:suppressAutoHyphens/>
        <w:ind w:firstLine="708"/>
        <w:jc w:val="both"/>
      </w:pPr>
    </w:p>
    <w:p w:rsidR="00527405" w:rsidRPr="008875C1" w:rsidRDefault="00527405" w:rsidP="00527405">
      <w:pPr>
        <w:suppressAutoHyphens/>
        <w:rPr>
          <w:i/>
        </w:rPr>
      </w:pPr>
      <w:r w:rsidRPr="008875C1">
        <w:rPr>
          <w:i/>
        </w:rPr>
        <w:t xml:space="preserve">С уважением, </w:t>
      </w:r>
    </w:p>
    <w:p w:rsidR="008875C1" w:rsidRDefault="00527405" w:rsidP="00527405">
      <w:pPr>
        <w:rPr>
          <w:i/>
        </w:rPr>
      </w:pPr>
      <w:r w:rsidRPr="008875C1">
        <w:rPr>
          <w:i/>
        </w:rPr>
        <w:t xml:space="preserve">Генеральный директор </w:t>
      </w:r>
    </w:p>
    <w:p w:rsidR="00527405" w:rsidRPr="008875C1" w:rsidRDefault="00527405" w:rsidP="00527405">
      <w:pPr>
        <w:rPr>
          <w:i/>
        </w:rPr>
      </w:pPr>
      <w:r w:rsidRPr="008875C1">
        <w:rPr>
          <w:i/>
        </w:rPr>
        <w:t>ОАО «Каббалкэнерго»</w:t>
      </w:r>
      <w:r w:rsidRPr="008875C1">
        <w:rPr>
          <w:i/>
        </w:rPr>
        <w:tab/>
        <w:t xml:space="preserve">    </w:t>
      </w:r>
      <w:r w:rsidRPr="008875C1">
        <w:rPr>
          <w:i/>
        </w:rPr>
        <w:tab/>
      </w:r>
      <w:r w:rsidRPr="008875C1">
        <w:rPr>
          <w:i/>
        </w:rPr>
        <w:tab/>
        <w:t xml:space="preserve">      </w:t>
      </w:r>
      <w:r w:rsidRPr="008875C1">
        <w:rPr>
          <w:i/>
        </w:rPr>
        <w:tab/>
        <w:t xml:space="preserve">  </w:t>
      </w:r>
      <w:r w:rsidRPr="008875C1">
        <w:rPr>
          <w:i/>
        </w:rPr>
        <w:tab/>
      </w:r>
      <w:r w:rsidR="008875C1">
        <w:rPr>
          <w:i/>
        </w:rPr>
        <w:tab/>
      </w:r>
      <w:r w:rsidR="008875C1">
        <w:rPr>
          <w:i/>
        </w:rPr>
        <w:tab/>
      </w:r>
      <w:r w:rsidR="008875C1">
        <w:rPr>
          <w:i/>
        </w:rPr>
        <w:tab/>
      </w:r>
      <w:r w:rsidRPr="008875C1">
        <w:rPr>
          <w:i/>
        </w:rPr>
        <w:t xml:space="preserve">     А.М. Аушев</w:t>
      </w:r>
    </w:p>
    <w:p w:rsidR="006502E8" w:rsidRDefault="006502E8" w:rsidP="006502E8"/>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6502E8" w:rsidRDefault="006502E8" w:rsidP="00F51533">
      <w:pPr>
        <w:spacing w:before="100" w:beforeAutospacing="1" w:after="100" w:afterAutospacing="1"/>
        <w:jc w:val="center"/>
        <w:outlineLvl w:val="4"/>
        <w:rPr>
          <w:b/>
          <w:bCs/>
          <w:iCs/>
          <w:sz w:val="32"/>
          <w:szCs w:val="32"/>
        </w:rPr>
      </w:pPr>
    </w:p>
    <w:p w:rsidR="00F51533" w:rsidRPr="000019BC" w:rsidRDefault="00593B6A" w:rsidP="00593B6A">
      <w:pPr>
        <w:pStyle w:val="a9"/>
        <w:spacing w:before="100" w:beforeAutospacing="1" w:after="100" w:afterAutospacing="1"/>
        <w:ind w:left="0"/>
        <w:jc w:val="center"/>
        <w:outlineLvl w:val="4"/>
        <w:rPr>
          <w:b/>
          <w:bCs/>
          <w:iCs/>
          <w:sz w:val="28"/>
          <w:szCs w:val="32"/>
        </w:rPr>
      </w:pPr>
      <w:r w:rsidRPr="000019BC">
        <w:rPr>
          <w:b/>
          <w:bCs/>
          <w:iCs/>
          <w:sz w:val="28"/>
          <w:szCs w:val="32"/>
        </w:rPr>
        <w:lastRenderedPageBreak/>
        <w:t xml:space="preserve">Раздел 1. </w:t>
      </w:r>
      <w:r w:rsidR="00DA4004" w:rsidRPr="000019BC">
        <w:rPr>
          <w:b/>
          <w:bCs/>
          <w:iCs/>
          <w:sz w:val="28"/>
          <w:szCs w:val="32"/>
        </w:rPr>
        <w:t>О компании</w:t>
      </w:r>
    </w:p>
    <w:p w:rsidR="005735FE" w:rsidRPr="00E12E5B" w:rsidRDefault="005735FE" w:rsidP="005735FE">
      <w:pPr>
        <w:ind w:firstLine="709"/>
        <w:jc w:val="both"/>
        <w:rPr>
          <w:color w:val="000000"/>
        </w:rPr>
      </w:pPr>
      <w:r w:rsidRPr="00E12E5B">
        <w:rPr>
          <w:color w:val="000000"/>
        </w:rPr>
        <w:t>Кабардино-Балкарское открытое акционерное общество энергетики и электрификации (далее</w:t>
      </w:r>
      <w:r w:rsidR="00AC1E8C">
        <w:rPr>
          <w:color w:val="000000"/>
        </w:rPr>
        <w:t xml:space="preserve"> - </w:t>
      </w:r>
      <w:r w:rsidRPr="00E12E5B">
        <w:rPr>
          <w:color w:val="000000"/>
        </w:rPr>
        <w:t>Общество) является энергосбытовой компанией, акционерами которой являются как российские, так и иностранные юридические и физические лица.</w:t>
      </w:r>
      <w:r w:rsidRPr="00E12E5B">
        <w:rPr>
          <w:rFonts w:eastAsiaTheme="minorHAnsi"/>
          <w:lang w:eastAsia="en-US"/>
        </w:rPr>
        <w:t xml:space="preserve"> </w:t>
      </w:r>
      <w:r w:rsidRPr="00E12E5B">
        <w:rPr>
          <w:color w:val="000000"/>
        </w:rPr>
        <w:t xml:space="preserve">ОАО «Каббалкэнерго» входит в </w:t>
      </w:r>
      <w:r>
        <w:rPr>
          <w:color w:val="000000"/>
        </w:rPr>
        <w:t>г</w:t>
      </w:r>
      <w:r w:rsidRPr="00E12E5B">
        <w:rPr>
          <w:color w:val="000000"/>
        </w:rPr>
        <w:t xml:space="preserve">руппу компаний ОАО «Российские сети», являясь его дочерним обществом. </w:t>
      </w:r>
    </w:p>
    <w:p w:rsidR="005735FE" w:rsidRPr="00E12E5B" w:rsidRDefault="005735FE" w:rsidP="005735FE">
      <w:pPr>
        <w:rPr>
          <w:b/>
        </w:rPr>
      </w:pPr>
    </w:p>
    <w:tbl>
      <w:tblPr>
        <w:tblW w:w="5000" w:type="pct"/>
        <w:jc w:val="center"/>
        <w:tblLook w:val="04A0" w:firstRow="1" w:lastRow="0" w:firstColumn="1" w:lastColumn="0" w:noHBand="0" w:noVBand="1"/>
      </w:tblPr>
      <w:tblGrid>
        <w:gridCol w:w="3409"/>
        <w:gridCol w:w="6162"/>
      </w:tblGrid>
      <w:tr w:rsidR="005735FE" w:rsidRPr="00E12E5B" w:rsidTr="008A772D">
        <w:trPr>
          <w:trHeight w:val="444"/>
          <w:jc w:val="center"/>
        </w:trPr>
        <w:tc>
          <w:tcPr>
            <w:tcW w:w="5000" w:type="pct"/>
            <w:gridSpan w:val="2"/>
            <w:shd w:val="clear" w:color="auto" w:fill="auto"/>
            <w:vAlign w:val="center"/>
          </w:tcPr>
          <w:p w:rsidR="005735FE" w:rsidRPr="008A772D" w:rsidRDefault="00FE1410" w:rsidP="00911E9B">
            <w:pPr>
              <w:jc w:val="center"/>
              <w:rPr>
                <w:b/>
                <w:i/>
              </w:rPr>
            </w:pPr>
            <w:r w:rsidRPr="008A772D">
              <w:rPr>
                <w:b/>
                <w:i/>
              </w:rPr>
              <w:t>Ключевая информация о компании</w:t>
            </w:r>
          </w:p>
        </w:tc>
      </w:tr>
      <w:tr w:rsidR="005735FE" w:rsidRPr="00E12E5B" w:rsidTr="008A772D">
        <w:trPr>
          <w:trHeight w:val="557"/>
          <w:jc w:val="center"/>
        </w:trPr>
        <w:tc>
          <w:tcPr>
            <w:tcW w:w="1781" w:type="pct"/>
            <w:shd w:val="clear" w:color="auto" w:fill="auto"/>
            <w:vAlign w:val="center"/>
          </w:tcPr>
          <w:p w:rsidR="005735FE" w:rsidRPr="00E12E5B" w:rsidRDefault="005735FE" w:rsidP="00911E9B">
            <w:r w:rsidRPr="00E12E5B">
              <w:t>Полное наименование</w:t>
            </w:r>
          </w:p>
        </w:tc>
        <w:tc>
          <w:tcPr>
            <w:tcW w:w="3219" w:type="pct"/>
            <w:shd w:val="clear" w:color="auto" w:fill="auto"/>
            <w:vAlign w:val="center"/>
          </w:tcPr>
          <w:p w:rsidR="005735FE" w:rsidRPr="00E12E5B" w:rsidRDefault="005735FE" w:rsidP="00911E9B">
            <w:r w:rsidRPr="00E12E5B">
              <w:t>Кабардино–Балкарское открытое акционерное общество энергетики и электрификации</w:t>
            </w:r>
          </w:p>
        </w:tc>
      </w:tr>
      <w:tr w:rsidR="005735FE" w:rsidRPr="00E12E5B" w:rsidTr="008A772D">
        <w:trPr>
          <w:trHeight w:val="373"/>
          <w:jc w:val="center"/>
        </w:trPr>
        <w:tc>
          <w:tcPr>
            <w:tcW w:w="1781" w:type="pct"/>
            <w:shd w:val="clear" w:color="auto" w:fill="auto"/>
            <w:vAlign w:val="center"/>
          </w:tcPr>
          <w:p w:rsidR="005735FE" w:rsidRPr="00E12E5B" w:rsidRDefault="005735FE" w:rsidP="00911E9B">
            <w:r w:rsidRPr="00E12E5B">
              <w:t>Краткое наименование</w:t>
            </w:r>
          </w:p>
        </w:tc>
        <w:tc>
          <w:tcPr>
            <w:tcW w:w="3219" w:type="pct"/>
            <w:shd w:val="clear" w:color="auto" w:fill="auto"/>
            <w:vAlign w:val="center"/>
          </w:tcPr>
          <w:p w:rsidR="005735FE" w:rsidRPr="00E12E5B" w:rsidRDefault="005735FE" w:rsidP="00911E9B">
            <w:r w:rsidRPr="00E12E5B">
              <w:t>ОАО «Каббалкэнерго»</w:t>
            </w:r>
          </w:p>
        </w:tc>
      </w:tr>
      <w:tr w:rsidR="005735FE" w:rsidRPr="00E12E5B" w:rsidTr="008A772D">
        <w:trPr>
          <w:trHeight w:val="423"/>
          <w:jc w:val="center"/>
        </w:trPr>
        <w:tc>
          <w:tcPr>
            <w:tcW w:w="1781" w:type="pct"/>
            <w:shd w:val="clear" w:color="auto" w:fill="auto"/>
            <w:vAlign w:val="center"/>
          </w:tcPr>
          <w:p w:rsidR="005735FE" w:rsidRPr="00E12E5B" w:rsidRDefault="005735FE" w:rsidP="00911E9B">
            <w:r>
              <w:t>С</w:t>
            </w:r>
            <w:r w:rsidRPr="00BE2F2C">
              <w:t xml:space="preserve">убъект Российской Федерации, на территории которого зарегистрировано </w:t>
            </w:r>
            <w:r>
              <w:t>О</w:t>
            </w:r>
            <w:r w:rsidRPr="00BE2F2C">
              <w:t>бщество</w:t>
            </w:r>
          </w:p>
        </w:tc>
        <w:tc>
          <w:tcPr>
            <w:tcW w:w="3219" w:type="pct"/>
            <w:shd w:val="clear" w:color="auto" w:fill="auto"/>
            <w:vAlign w:val="center"/>
          </w:tcPr>
          <w:p w:rsidR="005735FE" w:rsidRPr="00E12E5B" w:rsidRDefault="005735FE" w:rsidP="00911E9B">
            <w:r w:rsidRPr="00E12E5B">
              <w:t>Кабардино-Балкарская Республика</w:t>
            </w:r>
          </w:p>
        </w:tc>
      </w:tr>
      <w:tr w:rsidR="005735FE" w:rsidRPr="00E12E5B" w:rsidTr="008A772D">
        <w:trPr>
          <w:trHeight w:val="423"/>
          <w:jc w:val="center"/>
        </w:trPr>
        <w:tc>
          <w:tcPr>
            <w:tcW w:w="1781" w:type="pct"/>
            <w:shd w:val="clear" w:color="auto" w:fill="auto"/>
            <w:vAlign w:val="center"/>
          </w:tcPr>
          <w:p w:rsidR="005735FE" w:rsidRPr="00E12E5B" w:rsidRDefault="005735FE" w:rsidP="00911E9B">
            <w:r>
              <w:t>М</w:t>
            </w:r>
            <w:r w:rsidRPr="000C764C">
              <w:t>естонахождение</w:t>
            </w:r>
          </w:p>
        </w:tc>
        <w:tc>
          <w:tcPr>
            <w:tcW w:w="3219" w:type="pct"/>
            <w:shd w:val="clear" w:color="auto" w:fill="auto"/>
            <w:vAlign w:val="center"/>
          </w:tcPr>
          <w:p w:rsidR="005735FE" w:rsidRPr="00E12E5B" w:rsidRDefault="005735FE" w:rsidP="00911E9B">
            <w:r>
              <w:t xml:space="preserve">360000, Российская Федерация, </w:t>
            </w:r>
            <w:r w:rsidRPr="00811A83">
              <w:t>Кабардино-Балкарская Республика</w:t>
            </w:r>
            <w:r>
              <w:t>, г. Нальчик, ул. Щорса, д. 6</w:t>
            </w:r>
          </w:p>
        </w:tc>
      </w:tr>
      <w:tr w:rsidR="005735FE" w:rsidRPr="00E12E5B" w:rsidTr="008A772D">
        <w:trPr>
          <w:trHeight w:val="565"/>
          <w:jc w:val="center"/>
        </w:trPr>
        <w:tc>
          <w:tcPr>
            <w:tcW w:w="1781" w:type="pct"/>
            <w:shd w:val="clear" w:color="auto" w:fill="auto"/>
            <w:vAlign w:val="center"/>
          </w:tcPr>
          <w:p w:rsidR="005735FE" w:rsidRPr="00E12E5B" w:rsidRDefault="005735FE" w:rsidP="00911E9B">
            <w:r>
              <w:t>Факс и адрес электронной почты</w:t>
            </w:r>
          </w:p>
        </w:tc>
        <w:tc>
          <w:tcPr>
            <w:tcW w:w="3219" w:type="pct"/>
            <w:shd w:val="clear" w:color="auto" w:fill="auto"/>
            <w:vAlign w:val="center"/>
          </w:tcPr>
          <w:p w:rsidR="005735FE" w:rsidRPr="00B954B9" w:rsidRDefault="005735FE" w:rsidP="00911E9B">
            <w:pPr>
              <w:rPr>
                <w:lang w:val="en-US"/>
              </w:rPr>
            </w:pPr>
            <w:r>
              <w:t xml:space="preserve">(8662) 77-11-00, </w:t>
            </w:r>
            <w:hyperlink r:id="rId10" w:history="1">
              <w:r w:rsidRPr="00DD4117">
                <w:rPr>
                  <w:rStyle w:val="a8"/>
                  <w:color w:val="auto"/>
                  <w:u w:val="none"/>
                  <w:lang w:val="en-US"/>
                </w:rPr>
                <w:t>office@kabene.ru</w:t>
              </w:r>
            </w:hyperlink>
            <w:r>
              <w:rPr>
                <w:lang w:val="en-US"/>
              </w:rPr>
              <w:t xml:space="preserve"> </w:t>
            </w:r>
          </w:p>
        </w:tc>
      </w:tr>
      <w:tr w:rsidR="005735FE" w:rsidRPr="00E12E5B" w:rsidTr="008A772D">
        <w:trPr>
          <w:trHeight w:val="423"/>
          <w:jc w:val="center"/>
        </w:trPr>
        <w:tc>
          <w:tcPr>
            <w:tcW w:w="1781" w:type="pct"/>
            <w:shd w:val="clear" w:color="auto" w:fill="auto"/>
            <w:vAlign w:val="center"/>
          </w:tcPr>
          <w:p w:rsidR="005735FE" w:rsidRPr="00E12E5B" w:rsidRDefault="005735FE" w:rsidP="00911E9B">
            <w:r>
              <w:t>Основной в</w:t>
            </w:r>
            <w:r w:rsidRPr="00E12E5B">
              <w:t>ид деятельности</w:t>
            </w:r>
          </w:p>
        </w:tc>
        <w:tc>
          <w:tcPr>
            <w:tcW w:w="3219" w:type="pct"/>
            <w:shd w:val="clear" w:color="auto" w:fill="auto"/>
            <w:vAlign w:val="center"/>
          </w:tcPr>
          <w:p w:rsidR="005735FE" w:rsidRPr="00E12E5B" w:rsidRDefault="005735FE" w:rsidP="00911E9B">
            <w:r w:rsidRPr="00E12E5B">
              <w:t>Покупка и продажа электрической энергии и мощности</w:t>
            </w:r>
          </w:p>
        </w:tc>
      </w:tr>
      <w:tr w:rsidR="005735FE" w:rsidRPr="00E12E5B" w:rsidTr="008A772D">
        <w:trPr>
          <w:trHeight w:val="565"/>
          <w:jc w:val="center"/>
        </w:trPr>
        <w:tc>
          <w:tcPr>
            <w:tcW w:w="1781" w:type="pct"/>
            <w:shd w:val="clear" w:color="auto" w:fill="auto"/>
            <w:vAlign w:val="center"/>
          </w:tcPr>
          <w:p w:rsidR="005735FE" w:rsidRPr="00E12E5B" w:rsidRDefault="005735FE" w:rsidP="00911E9B">
            <w:r w:rsidRPr="00E12E5B">
              <w:t>Статус</w:t>
            </w:r>
          </w:p>
        </w:tc>
        <w:tc>
          <w:tcPr>
            <w:tcW w:w="3219" w:type="pct"/>
            <w:shd w:val="clear" w:color="auto" w:fill="auto"/>
            <w:vAlign w:val="center"/>
          </w:tcPr>
          <w:p w:rsidR="005735FE" w:rsidRPr="00E12E5B" w:rsidRDefault="005735FE" w:rsidP="00911E9B">
            <w:r w:rsidRPr="00E12E5B">
              <w:t xml:space="preserve">Гарантирующий поставщик </w:t>
            </w:r>
            <w:r>
              <w:t xml:space="preserve">электрической энергии </w:t>
            </w:r>
            <w:r w:rsidRPr="00E12E5B">
              <w:t>и субъект оптового рынка электрической энергии и мощности (ОРЭМ)</w:t>
            </w:r>
          </w:p>
        </w:tc>
      </w:tr>
      <w:tr w:rsidR="005735FE" w:rsidRPr="00E12E5B" w:rsidTr="008A772D">
        <w:trPr>
          <w:trHeight w:val="382"/>
          <w:jc w:val="center"/>
        </w:trPr>
        <w:tc>
          <w:tcPr>
            <w:tcW w:w="1781" w:type="pct"/>
            <w:shd w:val="clear" w:color="auto" w:fill="auto"/>
            <w:vAlign w:val="center"/>
          </w:tcPr>
          <w:p w:rsidR="005735FE" w:rsidRPr="00E12E5B" w:rsidRDefault="005735FE" w:rsidP="00911E9B">
            <w:r>
              <w:t>С</w:t>
            </w:r>
            <w:r w:rsidRPr="000C764C">
              <w:t>видетельств</w:t>
            </w:r>
            <w:r>
              <w:t>о</w:t>
            </w:r>
            <w:r w:rsidRPr="000C764C">
              <w:t xml:space="preserve"> о государственной регистрации в качестве юридического лица</w:t>
            </w:r>
          </w:p>
        </w:tc>
        <w:tc>
          <w:tcPr>
            <w:tcW w:w="3219" w:type="pct"/>
            <w:shd w:val="clear" w:color="auto" w:fill="auto"/>
            <w:vAlign w:val="center"/>
          </w:tcPr>
          <w:p w:rsidR="005735FE" w:rsidRPr="00E12E5B" w:rsidRDefault="005735FE" w:rsidP="00911E9B">
            <w:r>
              <w:t>Выдано администрацией г. Нальчик № 6260 от 20.06.1996г.</w:t>
            </w:r>
          </w:p>
        </w:tc>
      </w:tr>
      <w:tr w:rsidR="005735FE" w:rsidRPr="00E12E5B" w:rsidTr="008A772D">
        <w:trPr>
          <w:trHeight w:val="382"/>
          <w:jc w:val="center"/>
        </w:trPr>
        <w:tc>
          <w:tcPr>
            <w:tcW w:w="1781" w:type="pct"/>
            <w:shd w:val="clear" w:color="auto" w:fill="auto"/>
            <w:vAlign w:val="center"/>
          </w:tcPr>
          <w:p w:rsidR="005735FE" w:rsidRPr="00E12E5B" w:rsidRDefault="005735FE" w:rsidP="00911E9B">
            <w:r>
              <w:t>Реестродержатель</w:t>
            </w:r>
          </w:p>
        </w:tc>
        <w:tc>
          <w:tcPr>
            <w:tcW w:w="3219" w:type="pct"/>
            <w:shd w:val="clear" w:color="auto" w:fill="auto"/>
            <w:vAlign w:val="center"/>
          </w:tcPr>
          <w:p w:rsidR="005735FE" w:rsidRDefault="005735FE" w:rsidP="00911E9B">
            <w:r w:rsidRPr="00116943">
              <w:t>Акционерное общество «Регистраторское общество «СТАТУС»</w:t>
            </w:r>
          </w:p>
          <w:p w:rsidR="005735FE" w:rsidRDefault="005735FE" w:rsidP="00911E9B">
            <w:r w:rsidRPr="00DE2A35">
              <w:t>109544</w:t>
            </w:r>
            <w:r>
              <w:t xml:space="preserve">, </w:t>
            </w:r>
            <w:r w:rsidRPr="00DE2A35">
              <w:t xml:space="preserve">Российская Федерация, г. Москва, </w:t>
            </w:r>
          </w:p>
          <w:p w:rsidR="005735FE" w:rsidRPr="00E12E5B" w:rsidRDefault="005735FE" w:rsidP="00911E9B">
            <w:r w:rsidRPr="00DE2A35">
              <w:t>ул. Новорогожская, д. 32, стр. 1</w:t>
            </w:r>
            <w:r>
              <w:t>.</w:t>
            </w:r>
          </w:p>
        </w:tc>
      </w:tr>
    </w:tbl>
    <w:p w:rsidR="00833AD2" w:rsidRDefault="00833AD2" w:rsidP="00F51533">
      <w:pPr>
        <w:jc w:val="center"/>
        <w:rPr>
          <w:b/>
          <w:sz w:val="28"/>
          <w:szCs w:val="28"/>
        </w:rPr>
      </w:pPr>
    </w:p>
    <w:p w:rsidR="00F51533" w:rsidRPr="000019BC" w:rsidRDefault="00F51533" w:rsidP="00F51533">
      <w:pPr>
        <w:jc w:val="center"/>
        <w:rPr>
          <w:b/>
          <w:szCs w:val="28"/>
        </w:rPr>
      </w:pPr>
      <w:r w:rsidRPr="000019BC">
        <w:rPr>
          <w:b/>
          <w:szCs w:val="28"/>
        </w:rPr>
        <w:t>1.1. К</w:t>
      </w:r>
      <w:r w:rsidR="00D000D1" w:rsidRPr="000019BC">
        <w:rPr>
          <w:b/>
          <w:szCs w:val="28"/>
        </w:rPr>
        <w:t>ратка</w:t>
      </w:r>
      <w:r w:rsidR="00C04CAD" w:rsidRPr="000019BC">
        <w:rPr>
          <w:b/>
          <w:szCs w:val="28"/>
        </w:rPr>
        <w:t>я</w:t>
      </w:r>
      <w:r w:rsidR="00D000D1" w:rsidRPr="000019BC">
        <w:rPr>
          <w:b/>
          <w:szCs w:val="28"/>
        </w:rPr>
        <w:t xml:space="preserve"> история</w:t>
      </w:r>
    </w:p>
    <w:p w:rsidR="00E25087" w:rsidRDefault="00E25087" w:rsidP="00E25087">
      <w:pPr>
        <w:ind w:firstLine="709"/>
        <w:jc w:val="both"/>
        <w:rPr>
          <w:color w:val="000000"/>
        </w:rPr>
      </w:pPr>
    </w:p>
    <w:p w:rsidR="000815D7" w:rsidRPr="00E12E5B" w:rsidRDefault="00843CAD" w:rsidP="000815D7">
      <w:pPr>
        <w:tabs>
          <w:tab w:val="num" w:pos="0"/>
        </w:tabs>
        <w:ind w:firstLine="709"/>
        <w:jc w:val="both"/>
      </w:pPr>
      <w:bookmarkStart w:id="1" w:name="_Toc293483392"/>
      <w:r w:rsidRPr="00CD762D">
        <w:t xml:space="preserve">История Общества </w:t>
      </w:r>
      <w:r w:rsidR="0095562C">
        <w:t>началась в</w:t>
      </w:r>
      <w:r w:rsidRPr="00E12E5B">
        <w:t xml:space="preserve"> 1936 году</w:t>
      </w:r>
      <w:r w:rsidR="0095562C">
        <w:t>, когда</w:t>
      </w:r>
      <w:r w:rsidRPr="00E12E5B">
        <w:t xml:space="preserve"> </w:t>
      </w:r>
      <w:r>
        <w:t xml:space="preserve">вместе с вводом </w:t>
      </w:r>
      <w:r w:rsidRPr="00843CAD">
        <w:t xml:space="preserve">в эксплуатацию первого гидроагрегата Баксанской ГЭС </w:t>
      </w:r>
      <w:r>
        <w:t xml:space="preserve">была </w:t>
      </w:r>
      <w:r w:rsidRPr="00E12E5B">
        <w:t xml:space="preserve">образована </w:t>
      </w:r>
      <w:r w:rsidR="000815D7" w:rsidRPr="00E12E5B">
        <w:t xml:space="preserve">Кабардино-Балкарская контора «Сельэлектро» Пятигорского треста. В 1958 году </w:t>
      </w:r>
      <w:r w:rsidR="00091837" w:rsidRPr="00091837">
        <w:t>контора «Сельэлектро»</w:t>
      </w:r>
      <w:r w:rsidR="000815D7" w:rsidRPr="00E12E5B">
        <w:t xml:space="preserve"> стал</w:t>
      </w:r>
      <w:r w:rsidR="00091837">
        <w:t>а</w:t>
      </w:r>
      <w:r w:rsidR="000815D7" w:rsidRPr="00E12E5B">
        <w:t xml:space="preserve"> именоваться «Кабардино-Балкарская контора «Главсельэлектро» с подчинением Министерству сельского хозяйства РСФСР. С октября 1960 года – переименована в Кабардино-Балкарское энергетическое эксплуатационное управление «Сельэнерго» Министерства сельского хозяйства РСФСР.</w:t>
      </w:r>
      <w:r w:rsidR="00091837">
        <w:t xml:space="preserve"> </w:t>
      </w:r>
      <w:r w:rsidR="000815D7" w:rsidRPr="00E12E5B">
        <w:t xml:space="preserve">С июля 1961 года </w:t>
      </w:r>
      <w:r w:rsidR="009C4182">
        <w:t xml:space="preserve">оно </w:t>
      </w:r>
      <w:r w:rsidR="000815D7" w:rsidRPr="00E12E5B">
        <w:t xml:space="preserve">перешло в подчинение Всероссийского Объединенного Совета Министров РСФСР «Россельхозтехника» «Главсельэлектро» и стало называться Кабардино-Балкарское республиканское энергетическо-эксплуатационное управление «Сельэнерго». </w:t>
      </w:r>
    </w:p>
    <w:p w:rsidR="000815D7" w:rsidRPr="00E12E5B" w:rsidRDefault="000815D7" w:rsidP="000815D7">
      <w:pPr>
        <w:tabs>
          <w:tab w:val="num" w:pos="0"/>
        </w:tabs>
        <w:ind w:firstLine="709"/>
        <w:jc w:val="both"/>
      </w:pPr>
      <w:r w:rsidRPr="00E12E5B">
        <w:t xml:space="preserve">В марте 1964 года на базе Кабардино-Балкарского энергетическо-эксплуатационного управления «Сельэнерго» в соответствии с Приказом Председателя государственного производственного комитета по энергетике и электрификации СССР от 18.03.1964 №128 были образованы Кабардино-Балкарские электрические сети (КБЭС) в составе РЭУ «Ставропольэнерго». </w:t>
      </w:r>
    </w:p>
    <w:p w:rsidR="000815D7" w:rsidRPr="00E12E5B" w:rsidRDefault="000815D7" w:rsidP="000815D7">
      <w:pPr>
        <w:tabs>
          <w:tab w:val="num" w:pos="0"/>
        </w:tabs>
        <w:ind w:firstLine="709"/>
        <w:jc w:val="both"/>
      </w:pPr>
      <w:r w:rsidRPr="00E12E5B">
        <w:lastRenderedPageBreak/>
        <w:t>5 мая 1988 года в соответствии с Приказом Минэнерго СССР №249 предприятие «КБЭС» переименовано в Производственное объединение энергетики и электрификации КБАССР «Каббалкэнерго».</w:t>
      </w:r>
    </w:p>
    <w:p w:rsidR="00390F74" w:rsidRDefault="000815D7" w:rsidP="000815D7">
      <w:pPr>
        <w:tabs>
          <w:tab w:val="num" w:pos="0"/>
        </w:tabs>
        <w:ind w:firstLine="709"/>
        <w:jc w:val="both"/>
      </w:pPr>
      <w:r w:rsidRPr="00E12E5B">
        <w:t>11 декабря 1992 года на основании Постановления №1194 Главы администрации г. Нальчика ПОЭиЭ «Каббалкэнерго» преобразовано в Кабардино-Балкарское акционерное общество энергетики и электрификации (</w:t>
      </w:r>
      <w:r w:rsidR="00843CAD">
        <w:t>О</w:t>
      </w:r>
      <w:r w:rsidRPr="00E12E5B">
        <w:t xml:space="preserve">АО «Каббалкэнерго»). </w:t>
      </w:r>
      <w:r w:rsidR="00843CAD">
        <w:t>О</w:t>
      </w:r>
      <w:r w:rsidRPr="00E12E5B">
        <w:t xml:space="preserve">АО «Каббалкэнерго» является правопреемником ПОЭиЭ «Каббалкэнерго». </w:t>
      </w:r>
    </w:p>
    <w:p w:rsidR="000815D7" w:rsidRPr="00E12E5B" w:rsidRDefault="000815D7" w:rsidP="000815D7">
      <w:pPr>
        <w:tabs>
          <w:tab w:val="num" w:pos="0"/>
        </w:tabs>
        <w:ind w:firstLine="709"/>
        <w:jc w:val="both"/>
        <w:rPr>
          <w:bCs/>
          <w:iCs/>
        </w:rPr>
      </w:pPr>
      <w:r w:rsidRPr="00E12E5B">
        <w:rPr>
          <w:bCs/>
          <w:iCs/>
        </w:rPr>
        <w:t xml:space="preserve">В соответствии с решениями Совета директоров ОАО «Каббалкэнерго» (протокол от 17.10.2005 № 6, и от 22.11.2005 №8) и в соответствии с </w:t>
      </w:r>
      <w:r w:rsidRPr="00E12E5B">
        <w:t xml:space="preserve">«Проектом санации и реструктуризации </w:t>
      </w:r>
      <w:r w:rsidRPr="00E12E5B">
        <w:rPr>
          <w:bCs/>
          <w:iCs/>
        </w:rPr>
        <w:t xml:space="preserve">ОАО «Каббалкэнерго», </w:t>
      </w:r>
      <w:r w:rsidRPr="00E12E5B">
        <w:t>утвержденным Советом директоров ОАО РАО «ЕЭС России» (протоколы: от 25.03.2005 №191, от 25.11.2005 №</w:t>
      </w:r>
      <w:r w:rsidR="00D632FC">
        <w:t xml:space="preserve"> </w:t>
      </w:r>
      <w:r w:rsidRPr="00E12E5B">
        <w:t xml:space="preserve">209, от 19.01.2006 №212), </w:t>
      </w:r>
      <w:r>
        <w:rPr>
          <w:bCs/>
          <w:iCs/>
        </w:rPr>
        <w:t>из ОАО «Каббалкэнерго»</w:t>
      </w:r>
      <w:r w:rsidRPr="00E12E5B">
        <w:rPr>
          <w:bCs/>
          <w:iCs/>
        </w:rPr>
        <w:t xml:space="preserve"> выделились генерирующие объекты, на базе которых созданы компании ОАО «Кабардино-Балкарская гидрогенерирующая компания» и ОАО «Каскад Нижне-Черекских ГЭС»</w:t>
      </w:r>
      <w:r w:rsidR="00D84DEB">
        <w:rPr>
          <w:bCs/>
          <w:iCs/>
        </w:rPr>
        <w:t xml:space="preserve">, </w:t>
      </w:r>
      <w:r w:rsidR="000D334C">
        <w:rPr>
          <w:bCs/>
          <w:iCs/>
        </w:rPr>
        <w:t>а также</w:t>
      </w:r>
      <w:r w:rsidR="00D84DEB">
        <w:rPr>
          <w:bCs/>
          <w:iCs/>
        </w:rPr>
        <w:t xml:space="preserve"> электросетевые объекты, которы</w:t>
      </w:r>
      <w:r w:rsidR="00D632FC">
        <w:rPr>
          <w:bCs/>
          <w:iCs/>
        </w:rPr>
        <w:t>е</w:t>
      </w:r>
      <w:r w:rsidR="00D84DEB">
        <w:rPr>
          <w:bCs/>
          <w:iCs/>
        </w:rPr>
        <w:t xml:space="preserve"> </w:t>
      </w:r>
      <w:r w:rsidR="00D632FC">
        <w:rPr>
          <w:bCs/>
          <w:iCs/>
        </w:rPr>
        <w:t>перешли ОАО «Кавказская энергетическая управляющая компания».</w:t>
      </w:r>
      <w:r w:rsidR="002D593E" w:rsidRPr="002D593E">
        <w:t xml:space="preserve"> </w:t>
      </w:r>
      <w:r w:rsidR="002D593E" w:rsidRPr="002D593E">
        <w:rPr>
          <w:bCs/>
          <w:iCs/>
        </w:rPr>
        <w:t>Таким образом, с 6 апреля 2006 года ОАО «Каббалкэнерго» стало осуществлять свою деятельность исключительно как энергосбытовая компания.</w:t>
      </w:r>
    </w:p>
    <w:p w:rsidR="0065306A" w:rsidRDefault="000815D7" w:rsidP="000815D7">
      <w:pPr>
        <w:ind w:firstLine="709"/>
        <w:jc w:val="both"/>
      </w:pPr>
      <w:r w:rsidRPr="00E12E5B">
        <w:t xml:space="preserve">С 2006 года по 2011 год в соответствии с решением внеочередного Общего собрания акционеров Общества (протокол от 11.09.2006 №28), а также Договора о передаче полномочий единоличного исполнительного органа Общества от 29.09.2006 №105-09/2006 единоличным исполнительным органом Общества являлось ОАО «МРСК Северного Кавказа». </w:t>
      </w:r>
    </w:p>
    <w:p w:rsidR="00C649E3" w:rsidRDefault="000815D7" w:rsidP="00C649E3">
      <w:pPr>
        <w:ind w:firstLine="709"/>
        <w:jc w:val="both"/>
      </w:pPr>
      <w:r w:rsidRPr="00E12E5B">
        <w:t>5 декабря 2011 года договор о передаче полномочий единоличного исполнительного органа Общества от 29.09.2006 №105-09/2006 с ОАО «МРСК Северного Кавказа» расторгнут.</w:t>
      </w:r>
      <w:bookmarkEnd w:id="1"/>
    </w:p>
    <w:p w:rsidR="00C649E3" w:rsidRDefault="00C649E3" w:rsidP="00C649E3">
      <w:pPr>
        <w:ind w:firstLine="709"/>
        <w:jc w:val="both"/>
      </w:pPr>
      <w:r w:rsidRPr="00C649E3">
        <w:t>В настоящее время Генеральным директором Общества является Аушев Артур Магометович, избранный решением Совета директоров 20.12.2013г. (протокол № 125 от 23.12.2013г.).</w:t>
      </w:r>
    </w:p>
    <w:p w:rsidR="000019BC" w:rsidRDefault="000019BC" w:rsidP="00C649E3">
      <w:pPr>
        <w:ind w:firstLine="709"/>
        <w:jc w:val="both"/>
      </w:pPr>
    </w:p>
    <w:p w:rsidR="00F51533" w:rsidRPr="000019BC" w:rsidRDefault="00F51533" w:rsidP="00AE0E97">
      <w:pPr>
        <w:pStyle w:val="a9"/>
        <w:numPr>
          <w:ilvl w:val="1"/>
          <w:numId w:val="28"/>
        </w:numPr>
        <w:jc w:val="center"/>
        <w:rPr>
          <w:b/>
          <w:szCs w:val="28"/>
        </w:rPr>
      </w:pPr>
      <w:r w:rsidRPr="000019BC">
        <w:rPr>
          <w:b/>
          <w:szCs w:val="28"/>
        </w:rPr>
        <w:t xml:space="preserve">Положение </w:t>
      </w:r>
      <w:r w:rsidR="000019BC" w:rsidRPr="000019BC">
        <w:rPr>
          <w:b/>
          <w:szCs w:val="28"/>
        </w:rPr>
        <w:t>акционерного общества</w:t>
      </w:r>
      <w:r w:rsidRPr="000019BC">
        <w:rPr>
          <w:b/>
          <w:szCs w:val="28"/>
        </w:rPr>
        <w:t xml:space="preserve"> в отрасли</w:t>
      </w:r>
    </w:p>
    <w:p w:rsidR="00C649E3" w:rsidRPr="00C649E3" w:rsidRDefault="00C649E3" w:rsidP="00C649E3">
      <w:pPr>
        <w:pStyle w:val="a9"/>
        <w:ind w:left="1429"/>
        <w:jc w:val="both"/>
        <w:rPr>
          <w:b/>
          <w:sz w:val="28"/>
          <w:szCs w:val="28"/>
        </w:rPr>
      </w:pPr>
    </w:p>
    <w:p w:rsidR="00F51533" w:rsidRPr="00E12E5B" w:rsidRDefault="00F51533" w:rsidP="00C44C41">
      <w:pPr>
        <w:jc w:val="both"/>
      </w:pPr>
      <w:r w:rsidRPr="00E12E5B">
        <w:tab/>
        <w:t>ОАО «Каббалкэнерго» является гарантирующим поставщиком</w:t>
      </w:r>
      <w:r w:rsidR="0054352F">
        <w:t xml:space="preserve"> электрической энергии и </w:t>
      </w:r>
      <w:r w:rsidRPr="00E12E5B">
        <w:t>субъектом</w:t>
      </w:r>
      <w:r w:rsidRPr="00E12E5B">
        <w:rPr>
          <w:rFonts w:eastAsiaTheme="minorHAnsi"/>
          <w:lang w:eastAsia="en-US"/>
        </w:rPr>
        <w:t xml:space="preserve"> </w:t>
      </w:r>
      <w:r w:rsidRPr="00E12E5B">
        <w:t xml:space="preserve">оптового рынка электрической энергии и мощности (ОРЭМ). </w:t>
      </w:r>
    </w:p>
    <w:p w:rsidR="00F51533" w:rsidRPr="00E12E5B" w:rsidRDefault="00F51533" w:rsidP="00F51533">
      <w:pPr>
        <w:ind w:firstLine="709"/>
        <w:jc w:val="both"/>
      </w:pPr>
      <w:r w:rsidRPr="00E12E5B">
        <w:t xml:space="preserve">Согласно федеральному закону от 26.03.2003 № 35-ФЗ «Об электроэнергетике» </w:t>
      </w:r>
      <w:r w:rsidRPr="00E12E5B">
        <w:rPr>
          <w:b/>
        </w:rPr>
        <w:t>гарантирующий поставщик</w:t>
      </w:r>
      <w:r w:rsidRPr="00E12E5B">
        <w:t xml:space="preserve"> электрической энергии это коммерческая организация, обязанная заключить договор купли-продажи электрической энергии с любым обратившимся к ней потребителем электрической энергии либо с лицом, действующим от имени и в интересах потребителя электрической энергии и желающим приобрести</w:t>
      </w:r>
      <w:r w:rsidR="00875325">
        <w:t xml:space="preserve"> электрическую энергию. </w:t>
      </w:r>
      <w:r w:rsidR="00FE1410" w:rsidRPr="008A772D">
        <w:t>Субъект оптового рынка</w:t>
      </w:r>
      <w:r w:rsidRPr="00E12E5B">
        <w:t xml:space="preserve"> - юридическ</w:t>
      </w:r>
      <w:r w:rsidR="00875325">
        <w:t>ое</w:t>
      </w:r>
      <w:r w:rsidRPr="00E12E5B">
        <w:t xml:space="preserve"> лиц</w:t>
      </w:r>
      <w:r w:rsidR="00875325">
        <w:t>о</w:t>
      </w:r>
      <w:r w:rsidRPr="00E12E5B">
        <w:t>, получивш</w:t>
      </w:r>
      <w:r w:rsidR="00875325">
        <w:t>е</w:t>
      </w:r>
      <w:r w:rsidRPr="00E12E5B">
        <w:t xml:space="preserve">е в установленном порядке право участвовать в отношениях, связанных с обращением электрической энергии и (или) мощности на оптовом рынке, в соответствии с утверждаемыми Правительством </w:t>
      </w:r>
      <w:r w:rsidR="00875325">
        <w:t>РФ</w:t>
      </w:r>
      <w:r w:rsidRPr="00E12E5B">
        <w:t xml:space="preserve"> правилами оптового рынка.</w:t>
      </w:r>
      <w:r w:rsidR="00416806">
        <w:t xml:space="preserve"> На территории Кабардино-Балкарской Республики ОАО «Каббалкэнерго» является единственным субъектом ОРЭМ.</w:t>
      </w:r>
    </w:p>
    <w:p w:rsidR="009C1968" w:rsidRDefault="00E83192" w:rsidP="00F51533">
      <w:pPr>
        <w:ind w:firstLine="708"/>
        <w:jc w:val="both"/>
      </w:pPr>
      <w:r>
        <w:t>На основании</w:t>
      </w:r>
      <w:r w:rsidR="00F51533" w:rsidRPr="00E12E5B">
        <w:t xml:space="preserve"> приказ</w:t>
      </w:r>
      <w:r>
        <w:t>а</w:t>
      </w:r>
      <w:r w:rsidR="00F51533" w:rsidRPr="00E12E5B">
        <w:t xml:space="preserve"> Региональной энергетической комиссии Кабардино-Балкарской Республики от 12.10.2006г. № 111-Э границами зоны деятельности гарантирующего поставщика ОАО "Каббалкэнерго" </w:t>
      </w:r>
      <w:r>
        <w:t>установлены</w:t>
      </w:r>
      <w:r w:rsidR="00F51533" w:rsidRPr="00E12E5B">
        <w:t xml:space="preserve"> административные границы Кабардино-Балкарской Республики за исключением границ балансовой принадлежности электрических сетей, принадлежащих на праве собственности или на ином законном основании организациям, находящимся в ведении Министерства обороны РФ и (или) образованным во исполнение Указа Президента РФ</w:t>
      </w:r>
      <w:r w:rsidR="00F51533">
        <w:t xml:space="preserve"> от 15 сентября 2008 г. № 1359 «</w:t>
      </w:r>
      <w:r w:rsidR="00F51533" w:rsidRPr="00E12E5B">
        <w:t>Об</w:t>
      </w:r>
      <w:r w:rsidR="00F51533">
        <w:t xml:space="preserve"> открытом акционерном обществе «Оборонсервис»</w:t>
      </w:r>
      <w:r w:rsidR="00F51533" w:rsidRPr="00E12E5B">
        <w:t xml:space="preserve">. </w:t>
      </w:r>
    </w:p>
    <w:p w:rsidR="00F51533" w:rsidRDefault="009C1968" w:rsidP="00F51533">
      <w:pPr>
        <w:ind w:firstLine="708"/>
        <w:jc w:val="both"/>
      </w:pPr>
      <w:r>
        <w:lastRenderedPageBreak/>
        <w:t>Приказом ФСТ России от 12 февраля 2007 года № 17-э ОАО «Каббалкэнерго» включено в Федеральный информационный реестр гарантирующих поставщиков и зон их деятельности.</w:t>
      </w:r>
    </w:p>
    <w:p w:rsidR="007A0B3D" w:rsidRDefault="007A0B3D" w:rsidP="00F51533">
      <w:pPr>
        <w:ind w:firstLine="708"/>
        <w:jc w:val="both"/>
      </w:pPr>
      <w:r w:rsidRPr="007A0B3D">
        <w:t>Доля обслуживаемого рынка ОАО «Каббалкэнерго» в регионе составляет 100%. Доля населения в структуре потребления региона – 26%, бюджетных организаций – 7%.</w:t>
      </w:r>
    </w:p>
    <w:p w:rsidR="00F51533" w:rsidRPr="00E12E5B" w:rsidRDefault="008F69FF" w:rsidP="00F51533">
      <w:pPr>
        <w:ind w:firstLine="709"/>
        <w:jc w:val="both"/>
      </w:pPr>
      <w:r>
        <w:t>В регионе функционируют</w:t>
      </w:r>
      <w:r w:rsidR="00F51533" w:rsidRPr="00E12E5B">
        <w:t xml:space="preserve"> </w:t>
      </w:r>
      <w:r>
        <w:t xml:space="preserve">еще 2 </w:t>
      </w:r>
      <w:r w:rsidR="00F51533" w:rsidRPr="00E12E5B">
        <w:t xml:space="preserve">энергосбытовые компании, которые являются </w:t>
      </w:r>
      <w:r w:rsidR="00B65A6B">
        <w:t xml:space="preserve">покупателями-перепродавцами </w:t>
      </w:r>
      <w:r w:rsidR="00F51533" w:rsidRPr="00E12E5B">
        <w:t>электроэнергии</w:t>
      </w:r>
      <w:r w:rsidR="00841EBB">
        <w:t>, поставляемой</w:t>
      </w:r>
      <w:r w:rsidR="00F51533" w:rsidRPr="00E12E5B">
        <w:t xml:space="preserve"> ОАО «Каббалкэнерго»:</w:t>
      </w:r>
    </w:p>
    <w:p w:rsidR="00F51533" w:rsidRPr="00E12E5B" w:rsidRDefault="00676772" w:rsidP="00F51533">
      <w:pPr>
        <w:jc w:val="both"/>
      </w:pPr>
      <w:r>
        <w:t>1</w:t>
      </w:r>
      <w:r w:rsidR="00F51533" w:rsidRPr="00E12E5B">
        <w:t>) ОАО «Энергосбытовая компания» -</w:t>
      </w:r>
      <w:r w:rsidR="00B65A6B">
        <w:t xml:space="preserve"> осуществляет</w:t>
      </w:r>
      <w:r w:rsidR="00F51533" w:rsidRPr="00E12E5B">
        <w:t xml:space="preserve"> сбыт электрической энергии по городскому округу Прохладный в границах балансовой принадлежности электрических сетей МУП «Городские электрические сети»</w:t>
      </w:r>
      <w:r w:rsidR="006816BD">
        <w:t xml:space="preserve"> г. Прохладный</w:t>
      </w:r>
      <w:r w:rsidR="00F51533" w:rsidRPr="00E12E5B">
        <w:t>;</w:t>
      </w:r>
      <w:r w:rsidR="00B65A6B">
        <w:t xml:space="preserve"> </w:t>
      </w:r>
    </w:p>
    <w:p w:rsidR="00F51533" w:rsidRPr="00E12E5B" w:rsidRDefault="00676772" w:rsidP="007A657F">
      <w:pPr>
        <w:jc w:val="both"/>
      </w:pPr>
      <w:r>
        <w:t>2</w:t>
      </w:r>
      <w:r w:rsidR="00F51533" w:rsidRPr="00E12E5B">
        <w:t xml:space="preserve">) ООО «Оборонэнергосбыт» - гарантирующий поставщик, осуществляющий сбыт электрической энергии </w:t>
      </w:r>
      <w:r w:rsidR="00B65A6B">
        <w:t xml:space="preserve">в отношении </w:t>
      </w:r>
      <w:r w:rsidR="00F51533" w:rsidRPr="00E12E5B">
        <w:t>объект</w:t>
      </w:r>
      <w:r w:rsidR="00B65A6B">
        <w:t>ов</w:t>
      </w:r>
      <w:r w:rsidR="00F51533" w:rsidRPr="00E12E5B">
        <w:t xml:space="preserve"> и подведомственны</w:t>
      </w:r>
      <w:r w:rsidR="00B65A6B">
        <w:t>х</w:t>
      </w:r>
      <w:r w:rsidR="00F51533" w:rsidRPr="00E12E5B">
        <w:t xml:space="preserve"> учреждени</w:t>
      </w:r>
      <w:r w:rsidR="00B65A6B">
        <w:t>й</w:t>
      </w:r>
      <w:r w:rsidR="00F51533" w:rsidRPr="00E12E5B">
        <w:t xml:space="preserve"> Министерства обороны РФ в границах балансовой принадлежности их электрических сетей.</w:t>
      </w:r>
      <w:r w:rsidR="00424747" w:rsidRPr="00424747">
        <w:t xml:space="preserve"> </w:t>
      </w:r>
      <w:r w:rsidR="00424747" w:rsidRPr="00E12E5B">
        <w:t>По итогам 201</w:t>
      </w:r>
      <w:r w:rsidR="00424747">
        <w:t>4</w:t>
      </w:r>
      <w:r w:rsidR="00424747" w:rsidRPr="00E12E5B">
        <w:t xml:space="preserve"> года </w:t>
      </w:r>
      <w:r w:rsidR="00424747">
        <w:t>д</w:t>
      </w:r>
      <w:r w:rsidR="00424747" w:rsidRPr="00E12E5B">
        <w:t xml:space="preserve">оля энергосбытовых компаний от объема общего потребления электрической энергии составила </w:t>
      </w:r>
      <w:r w:rsidR="00424747">
        <w:t>5,8</w:t>
      </w:r>
      <w:r w:rsidR="00424747" w:rsidRPr="00E12E5B">
        <w:t>%, в том числе</w:t>
      </w:r>
      <w:r w:rsidR="00424747">
        <w:t xml:space="preserve"> </w:t>
      </w:r>
      <w:r w:rsidR="00424747" w:rsidRPr="00E12E5B">
        <w:t xml:space="preserve">ОАО «Энергосбытовая компания» г. Прохладный – </w:t>
      </w:r>
      <w:r w:rsidR="00424747">
        <w:t>5,7</w:t>
      </w:r>
      <w:r w:rsidR="00424747" w:rsidRPr="00E12E5B">
        <w:t>%</w:t>
      </w:r>
      <w:r w:rsidR="00424747">
        <w:t>,</w:t>
      </w:r>
      <w:r w:rsidR="00424747" w:rsidRPr="00E12E5B">
        <w:t xml:space="preserve"> ООО «Оборонэнергосбыт» - </w:t>
      </w:r>
      <w:r w:rsidR="00424747" w:rsidRPr="004E78D1">
        <w:t>0,1%.</w:t>
      </w:r>
    </w:p>
    <w:p w:rsidR="00F51533" w:rsidRPr="00E12E5B" w:rsidRDefault="001D2DA2" w:rsidP="00F51533">
      <w:pPr>
        <w:autoSpaceDE w:val="0"/>
        <w:autoSpaceDN w:val="0"/>
        <w:adjustRightInd w:val="0"/>
        <w:spacing w:before="67"/>
        <w:ind w:right="10" w:firstLine="672"/>
        <w:jc w:val="both"/>
      </w:pPr>
      <w:r>
        <w:t>По состоянию на конец</w:t>
      </w:r>
      <w:r w:rsidR="00F51533" w:rsidRPr="00E12E5B">
        <w:t xml:space="preserve"> 201</w:t>
      </w:r>
      <w:r>
        <w:t>4</w:t>
      </w:r>
      <w:r w:rsidR="00F51533" w:rsidRPr="00E12E5B">
        <w:t xml:space="preserve"> год</w:t>
      </w:r>
      <w:r>
        <w:t>а</w:t>
      </w:r>
      <w:r w:rsidR="00F51533" w:rsidRPr="00E12E5B">
        <w:t xml:space="preserve"> Обществом </w:t>
      </w:r>
      <w:r w:rsidR="00794F08">
        <w:t>заключены</w:t>
      </w:r>
      <w:r w:rsidR="00F51533" w:rsidRPr="00E12E5B">
        <w:t xml:space="preserve"> договора на </w:t>
      </w:r>
      <w:r w:rsidR="000D2B76">
        <w:t xml:space="preserve">оказание </w:t>
      </w:r>
      <w:r w:rsidR="00F51533" w:rsidRPr="00E12E5B">
        <w:t xml:space="preserve">услуг по передаче электроэнергии с </w:t>
      </w:r>
      <w:r w:rsidR="00946FF8">
        <w:t>шестью</w:t>
      </w:r>
      <w:r w:rsidR="00F51533" w:rsidRPr="00E12E5B">
        <w:t xml:space="preserve"> сетевыми организациями:</w:t>
      </w:r>
    </w:p>
    <w:p w:rsidR="00F51533" w:rsidRPr="00E12E5B" w:rsidRDefault="00F51533" w:rsidP="00230DF1">
      <w:pPr>
        <w:widowControl w:val="0"/>
        <w:numPr>
          <w:ilvl w:val="0"/>
          <w:numId w:val="1"/>
        </w:numPr>
        <w:tabs>
          <w:tab w:val="left" w:pos="960"/>
        </w:tabs>
        <w:autoSpaceDE w:val="0"/>
        <w:autoSpaceDN w:val="0"/>
        <w:adjustRightInd w:val="0"/>
        <w:jc w:val="both"/>
      </w:pPr>
      <w:r w:rsidRPr="00E12E5B">
        <w:t>ОАО «Федеральная сетевая компания</w:t>
      </w:r>
      <w:r>
        <w:t xml:space="preserve"> Единой энергетической системы</w:t>
      </w:r>
      <w:r w:rsidRPr="00E12E5B">
        <w:t>»</w:t>
      </w:r>
      <w:r>
        <w:t xml:space="preserve">                     (ОАО «ФСК ЕЭС»)</w:t>
      </w:r>
      <w:r w:rsidRPr="00E12E5B">
        <w:t xml:space="preserve"> - российская энергетическая компания, оказывающая услуги по передаче электроэнергии по Единой национальной электрической сети (ЕНЭС);</w:t>
      </w:r>
    </w:p>
    <w:p w:rsidR="00F51533" w:rsidRPr="00E12E5B" w:rsidRDefault="00F51533" w:rsidP="00230DF1">
      <w:pPr>
        <w:widowControl w:val="0"/>
        <w:numPr>
          <w:ilvl w:val="0"/>
          <w:numId w:val="1"/>
        </w:numPr>
        <w:tabs>
          <w:tab w:val="left" w:pos="960"/>
        </w:tabs>
        <w:autoSpaceDE w:val="0"/>
        <w:autoSpaceDN w:val="0"/>
        <w:adjustRightInd w:val="0"/>
        <w:jc w:val="both"/>
      </w:pPr>
      <w:r w:rsidRPr="00E12E5B">
        <w:t>ОАО «МРСК Северного Кавказа» - региональная сетевая компания (РСК), обслуживающая региональные сети;</w:t>
      </w:r>
    </w:p>
    <w:p w:rsidR="00F51533" w:rsidRDefault="00946FF8" w:rsidP="00230DF1">
      <w:pPr>
        <w:widowControl w:val="0"/>
        <w:numPr>
          <w:ilvl w:val="0"/>
          <w:numId w:val="1"/>
        </w:numPr>
        <w:tabs>
          <w:tab w:val="left" w:pos="960"/>
        </w:tabs>
        <w:autoSpaceDE w:val="0"/>
        <w:autoSpaceDN w:val="0"/>
        <w:adjustRightInd w:val="0"/>
        <w:jc w:val="both"/>
      </w:pPr>
      <w:r>
        <w:t>МУП</w:t>
      </w:r>
      <w:r w:rsidR="00F51533" w:rsidRPr="00E12E5B">
        <w:t xml:space="preserve"> «</w:t>
      </w:r>
      <w:r w:rsidRPr="00946FF8">
        <w:t>Каббалккоммунэнерго</w:t>
      </w:r>
      <w:r>
        <w:t>»</w:t>
      </w:r>
      <w:r w:rsidR="00F51533" w:rsidRPr="00E12E5B">
        <w:t xml:space="preserve"> - территориальная сетевая </w:t>
      </w:r>
      <w:r>
        <w:t xml:space="preserve">организация </w:t>
      </w:r>
      <w:r w:rsidR="00F51533" w:rsidRPr="00E12E5B">
        <w:t xml:space="preserve"> (ТСО), обслуживающая се</w:t>
      </w:r>
      <w:r w:rsidR="00F51533">
        <w:t>ти на территории город</w:t>
      </w:r>
      <w:r>
        <w:t>ского округа</w:t>
      </w:r>
      <w:r w:rsidR="00F51533">
        <w:t xml:space="preserve"> Нальчик;</w:t>
      </w:r>
    </w:p>
    <w:p w:rsidR="00946FF8" w:rsidRDefault="00946FF8" w:rsidP="00230DF1">
      <w:pPr>
        <w:widowControl w:val="0"/>
        <w:numPr>
          <w:ilvl w:val="0"/>
          <w:numId w:val="1"/>
        </w:numPr>
        <w:tabs>
          <w:tab w:val="left" w:pos="960"/>
        </w:tabs>
        <w:autoSpaceDE w:val="0"/>
        <w:autoSpaceDN w:val="0"/>
        <w:adjustRightInd w:val="0"/>
        <w:jc w:val="both"/>
      </w:pPr>
      <w:r w:rsidRPr="00946FF8">
        <w:t xml:space="preserve">МУП «Городские электрические сети» </w:t>
      </w:r>
      <w:r>
        <w:t xml:space="preserve">- </w:t>
      </w:r>
      <w:r w:rsidRPr="00946FF8">
        <w:t>территориальная сетевая организация  (ТСО), обслуживающая сети на территории городского округа Прохладный</w:t>
      </w:r>
      <w:r>
        <w:t>;</w:t>
      </w:r>
    </w:p>
    <w:p w:rsidR="00F51533" w:rsidRPr="00E12E5B" w:rsidRDefault="00F51533" w:rsidP="00230DF1">
      <w:pPr>
        <w:widowControl w:val="0"/>
        <w:numPr>
          <w:ilvl w:val="0"/>
          <w:numId w:val="1"/>
        </w:numPr>
        <w:tabs>
          <w:tab w:val="left" w:pos="960"/>
        </w:tabs>
        <w:autoSpaceDE w:val="0"/>
        <w:autoSpaceDN w:val="0"/>
        <w:adjustRightInd w:val="0"/>
        <w:jc w:val="both"/>
      </w:pPr>
      <w:r w:rsidRPr="00E12E5B">
        <w:t xml:space="preserve">МУП «Чегемэнерго» - территориальная сетевая </w:t>
      </w:r>
      <w:r w:rsidR="00946FF8" w:rsidRPr="00946FF8">
        <w:t xml:space="preserve">организация  </w:t>
      </w:r>
      <w:r w:rsidRPr="00E12E5B">
        <w:t>(ТСО), обслуживающая сети на территории Чегемского муниципального района;</w:t>
      </w:r>
    </w:p>
    <w:p w:rsidR="00F51533" w:rsidRDefault="00F51533" w:rsidP="00230DF1">
      <w:pPr>
        <w:widowControl w:val="0"/>
        <w:numPr>
          <w:ilvl w:val="0"/>
          <w:numId w:val="1"/>
        </w:numPr>
        <w:tabs>
          <w:tab w:val="left" w:pos="955"/>
        </w:tabs>
        <w:autoSpaceDE w:val="0"/>
        <w:autoSpaceDN w:val="0"/>
        <w:adjustRightInd w:val="0"/>
        <w:jc w:val="both"/>
      </w:pPr>
      <w:r w:rsidRPr="00E12E5B">
        <w:t xml:space="preserve">ОАО «РЖД» - территориальная сетевая </w:t>
      </w:r>
      <w:r w:rsidR="00946FF8" w:rsidRPr="00946FF8">
        <w:t xml:space="preserve">организация  </w:t>
      </w:r>
      <w:r w:rsidRPr="00E12E5B">
        <w:t>(ТСО).</w:t>
      </w:r>
    </w:p>
    <w:p w:rsidR="00F51533" w:rsidRPr="000019BC" w:rsidRDefault="00F51533" w:rsidP="00F51533">
      <w:pPr>
        <w:spacing w:before="100" w:beforeAutospacing="1" w:after="100" w:afterAutospacing="1"/>
        <w:jc w:val="center"/>
        <w:outlineLvl w:val="4"/>
        <w:rPr>
          <w:b/>
          <w:bCs/>
          <w:iCs/>
          <w:szCs w:val="28"/>
        </w:rPr>
      </w:pPr>
      <w:r w:rsidRPr="000019BC">
        <w:rPr>
          <w:b/>
          <w:bCs/>
          <w:iCs/>
          <w:szCs w:val="28"/>
        </w:rPr>
        <w:t>1.</w:t>
      </w:r>
      <w:r w:rsidR="00D000D1" w:rsidRPr="000019BC">
        <w:rPr>
          <w:b/>
          <w:bCs/>
          <w:iCs/>
          <w:szCs w:val="28"/>
        </w:rPr>
        <w:t>3</w:t>
      </w:r>
      <w:r w:rsidRPr="000019BC">
        <w:rPr>
          <w:b/>
          <w:bCs/>
          <w:iCs/>
          <w:szCs w:val="28"/>
        </w:rPr>
        <w:t>. Ключевые события 201</w:t>
      </w:r>
      <w:r w:rsidR="00897F1D" w:rsidRPr="000019BC">
        <w:rPr>
          <w:b/>
          <w:bCs/>
          <w:iCs/>
          <w:szCs w:val="28"/>
        </w:rPr>
        <w:t>4</w:t>
      </w:r>
      <w:r w:rsidRPr="000019BC">
        <w:rPr>
          <w:b/>
          <w:bCs/>
          <w:iCs/>
          <w:szCs w:val="28"/>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3"/>
      </w:tblGrid>
      <w:tr w:rsidR="00D02A80" w:rsidRPr="006502E8" w:rsidTr="006502E8">
        <w:trPr>
          <w:trHeight w:val="284"/>
        </w:trPr>
        <w:tc>
          <w:tcPr>
            <w:tcW w:w="9571" w:type="dxa"/>
            <w:gridSpan w:val="2"/>
            <w:vAlign w:val="center"/>
          </w:tcPr>
          <w:p w:rsidR="00D02A80" w:rsidRPr="006502E8" w:rsidRDefault="00D02A80" w:rsidP="00116943">
            <w:pPr>
              <w:jc w:val="center"/>
              <w:rPr>
                <w:bCs/>
                <w:i/>
              </w:rPr>
            </w:pPr>
            <w:r w:rsidRPr="006502E8">
              <w:rPr>
                <w:bCs/>
                <w:i/>
              </w:rPr>
              <w:t>Внутренние документы</w:t>
            </w:r>
          </w:p>
        </w:tc>
      </w:tr>
      <w:tr w:rsidR="00D02A80" w:rsidRPr="006502E8" w:rsidTr="00116943">
        <w:trPr>
          <w:trHeight w:val="595"/>
        </w:trPr>
        <w:tc>
          <w:tcPr>
            <w:tcW w:w="1908" w:type="dxa"/>
            <w:vAlign w:val="center"/>
          </w:tcPr>
          <w:p w:rsidR="00D02A80" w:rsidRPr="006502E8" w:rsidRDefault="00D02A80" w:rsidP="00BB2D64">
            <w:pPr>
              <w:jc w:val="center"/>
            </w:pPr>
            <w:r w:rsidRPr="006502E8">
              <w:t>3</w:t>
            </w:r>
            <w:r w:rsidR="00BB2D64" w:rsidRPr="006502E8">
              <w:t>1</w:t>
            </w:r>
            <w:r w:rsidRPr="006502E8">
              <w:t xml:space="preserve"> </w:t>
            </w:r>
            <w:r w:rsidR="00BB2D64" w:rsidRPr="006502E8">
              <w:t xml:space="preserve">января </w:t>
            </w:r>
            <w:r w:rsidRPr="006502E8">
              <w:t>2014</w:t>
            </w:r>
          </w:p>
        </w:tc>
        <w:tc>
          <w:tcPr>
            <w:tcW w:w="7663" w:type="dxa"/>
            <w:vAlign w:val="center"/>
          </w:tcPr>
          <w:p w:rsidR="00D02A80" w:rsidRPr="006502E8" w:rsidRDefault="007A00FA" w:rsidP="00151576">
            <w:pPr>
              <w:jc w:val="both"/>
              <w:rPr>
                <w:bCs/>
              </w:rPr>
            </w:pPr>
            <w:r w:rsidRPr="006502E8">
              <w:rPr>
                <w:bCs/>
              </w:rPr>
              <w:t>О</w:t>
            </w:r>
            <w:r w:rsidR="00D02A80" w:rsidRPr="006502E8">
              <w:rPr>
                <w:bCs/>
              </w:rPr>
              <w:t>добрен Коллективный договор ОАО «Каббалкэнерго» на 2013-2015 годы (Протокол заседания Совета директоров ОАО «Каббалкэнерго» № 128 от 03.02.2014 г.).</w:t>
            </w:r>
          </w:p>
        </w:tc>
      </w:tr>
      <w:tr w:rsidR="00D02A80" w:rsidRPr="006502E8" w:rsidTr="00116943">
        <w:trPr>
          <w:trHeight w:val="595"/>
        </w:trPr>
        <w:tc>
          <w:tcPr>
            <w:tcW w:w="1908" w:type="dxa"/>
            <w:vAlign w:val="center"/>
          </w:tcPr>
          <w:p w:rsidR="00D02A80" w:rsidRPr="006502E8" w:rsidRDefault="00BB2D64" w:rsidP="00116943">
            <w:pPr>
              <w:jc w:val="center"/>
            </w:pPr>
            <w:r w:rsidRPr="006502E8">
              <w:t>03</w:t>
            </w:r>
            <w:r w:rsidR="00D02A80" w:rsidRPr="006502E8">
              <w:t xml:space="preserve"> апреля 2014</w:t>
            </w:r>
          </w:p>
        </w:tc>
        <w:tc>
          <w:tcPr>
            <w:tcW w:w="7663" w:type="dxa"/>
            <w:vAlign w:val="center"/>
          </w:tcPr>
          <w:p w:rsidR="00D02A80" w:rsidRPr="006502E8" w:rsidRDefault="00D02A80" w:rsidP="00BB2D64">
            <w:pPr>
              <w:jc w:val="both"/>
              <w:rPr>
                <w:bCs/>
              </w:rPr>
            </w:pPr>
            <w:r w:rsidRPr="006502E8">
              <w:rPr>
                <w:bCs/>
              </w:rPr>
              <w:t>Утверждена Антикоррупционная политика ОАО «Каббалкэнерго»</w:t>
            </w:r>
            <w:r w:rsidRPr="006502E8">
              <w:t xml:space="preserve"> </w:t>
            </w:r>
            <w:r w:rsidRPr="006502E8">
              <w:rPr>
                <w:bCs/>
              </w:rPr>
              <w:t>(Протокол заседания Совета директоров ОАО «Каббалкэнерго» № 132 от 07.04.2014 г.).</w:t>
            </w:r>
          </w:p>
        </w:tc>
      </w:tr>
      <w:tr w:rsidR="00D02A80" w:rsidRPr="006502E8" w:rsidTr="00116943">
        <w:trPr>
          <w:trHeight w:val="595"/>
        </w:trPr>
        <w:tc>
          <w:tcPr>
            <w:tcW w:w="1908" w:type="dxa"/>
            <w:vAlign w:val="center"/>
          </w:tcPr>
          <w:p w:rsidR="00D02A80" w:rsidRPr="006502E8" w:rsidRDefault="00BB2D64" w:rsidP="00116943">
            <w:pPr>
              <w:jc w:val="center"/>
            </w:pPr>
            <w:r w:rsidRPr="006502E8">
              <w:t xml:space="preserve">03 </w:t>
            </w:r>
            <w:r w:rsidR="00D02A80" w:rsidRPr="006502E8">
              <w:t>апреля 2014</w:t>
            </w:r>
          </w:p>
        </w:tc>
        <w:tc>
          <w:tcPr>
            <w:tcW w:w="7663" w:type="dxa"/>
            <w:vAlign w:val="center"/>
          </w:tcPr>
          <w:p w:rsidR="00D02A80" w:rsidRPr="006502E8" w:rsidRDefault="00D02A80" w:rsidP="00BB2D64">
            <w:pPr>
              <w:jc w:val="both"/>
              <w:rPr>
                <w:bCs/>
              </w:rPr>
            </w:pPr>
            <w:r w:rsidRPr="006502E8">
              <w:rPr>
                <w:bCs/>
              </w:rPr>
              <w:t>Утвержден План перспективного развития ОАО «Каббалкэнерго» на 2014-2022 гг.</w:t>
            </w:r>
            <w:r w:rsidRPr="006502E8">
              <w:t xml:space="preserve"> </w:t>
            </w:r>
            <w:r w:rsidRPr="006502E8">
              <w:rPr>
                <w:bCs/>
              </w:rPr>
              <w:t>(Протокол заседания Совета директоров ОАО «Каббалкэнерго» № 132 от 07.04.2014 г.).</w:t>
            </w:r>
          </w:p>
        </w:tc>
      </w:tr>
      <w:tr w:rsidR="00D02A80" w:rsidRPr="006502E8" w:rsidTr="00116943">
        <w:trPr>
          <w:trHeight w:val="595"/>
        </w:trPr>
        <w:tc>
          <w:tcPr>
            <w:tcW w:w="1908" w:type="dxa"/>
            <w:vAlign w:val="center"/>
          </w:tcPr>
          <w:p w:rsidR="00D02A80" w:rsidRPr="006502E8" w:rsidRDefault="006249A6" w:rsidP="00116943">
            <w:pPr>
              <w:jc w:val="center"/>
            </w:pPr>
            <w:r w:rsidRPr="006502E8">
              <w:t xml:space="preserve">24 </w:t>
            </w:r>
            <w:r w:rsidR="00D02A80" w:rsidRPr="006502E8">
              <w:t>апреля 2014</w:t>
            </w:r>
          </w:p>
        </w:tc>
        <w:tc>
          <w:tcPr>
            <w:tcW w:w="7663" w:type="dxa"/>
            <w:vAlign w:val="center"/>
          </w:tcPr>
          <w:p w:rsidR="00D02A80" w:rsidRPr="006502E8" w:rsidRDefault="00D02A80" w:rsidP="006249A6">
            <w:pPr>
              <w:jc w:val="both"/>
              <w:rPr>
                <w:bCs/>
              </w:rPr>
            </w:pPr>
            <w:r w:rsidRPr="006502E8">
              <w:rPr>
                <w:bCs/>
              </w:rPr>
              <w:t>Утвержден скорректированный бизнес-план ОАО «Каббалкэнерго», включающего инвестиционную программу, на 2014 год (Протокол заседания Совета директоров ОАО «Каббалкэнерго» № 134 от 28.04.2014 г.).</w:t>
            </w:r>
          </w:p>
        </w:tc>
      </w:tr>
      <w:tr w:rsidR="00D02A80" w:rsidRPr="006502E8" w:rsidTr="006502E8">
        <w:trPr>
          <w:trHeight w:val="274"/>
        </w:trPr>
        <w:tc>
          <w:tcPr>
            <w:tcW w:w="1908" w:type="dxa"/>
            <w:vAlign w:val="center"/>
          </w:tcPr>
          <w:p w:rsidR="00D02A80" w:rsidRPr="006502E8" w:rsidRDefault="00151576" w:rsidP="00116943">
            <w:pPr>
              <w:jc w:val="center"/>
            </w:pPr>
            <w:r w:rsidRPr="006502E8">
              <w:t xml:space="preserve">19  </w:t>
            </w:r>
            <w:r w:rsidR="00D02A80" w:rsidRPr="006502E8">
              <w:t>июня 2014</w:t>
            </w:r>
          </w:p>
        </w:tc>
        <w:tc>
          <w:tcPr>
            <w:tcW w:w="7663" w:type="dxa"/>
            <w:vAlign w:val="center"/>
          </w:tcPr>
          <w:p w:rsidR="00D02A80" w:rsidRPr="006502E8" w:rsidRDefault="00D02A80" w:rsidP="00116943">
            <w:pPr>
              <w:jc w:val="both"/>
              <w:rPr>
                <w:bCs/>
              </w:rPr>
            </w:pPr>
            <w:r w:rsidRPr="006502E8">
              <w:rPr>
                <w:bCs/>
              </w:rPr>
              <w:t>Утвержден Регламент размещения временно свободных денежных средств Общества (Протокол заседания Совета директоров ОАО «Каббалкэнерго» № 138 от 20.06.2014 г.).</w:t>
            </w:r>
          </w:p>
        </w:tc>
      </w:tr>
      <w:tr w:rsidR="00D02A80" w:rsidRPr="006502E8" w:rsidTr="00116943">
        <w:trPr>
          <w:trHeight w:val="595"/>
        </w:trPr>
        <w:tc>
          <w:tcPr>
            <w:tcW w:w="1908" w:type="dxa"/>
            <w:vAlign w:val="center"/>
          </w:tcPr>
          <w:p w:rsidR="00D02A80" w:rsidRPr="006502E8" w:rsidRDefault="00151576" w:rsidP="00151576">
            <w:pPr>
              <w:jc w:val="center"/>
            </w:pPr>
            <w:r w:rsidRPr="006502E8">
              <w:t>26</w:t>
            </w:r>
            <w:r w:rsidR="00D02A80" w:rsidRPr="006502E8">
              <w:t xml:space="preserve"> </w:t>
            </w:r>
            <w:r w:rsidRPr="006502E8">
              <w:t xml:space="preserve">июня </w:t>
            </w:r>
            <w:r w:rsidR="00D02A80" w:rsidRPr="006502E8">
              <w:t>2014</w:t>
            </w:r>
          </w:p>
        </w:tc>
        <w:tc>
          <w:tcPr>
            <w:tcW w:w="7663" w:type="dxa"/>
            <w:vAlign w:val="center"/>
          </w:tcPr>
          <w:p w:rsidR="00D02A80" w:rsidRPr="006502E8" w:rsidRDefault="00D02A80" w:rsidP="00116943">
            <w:pPr>
              <w:jc w:val="both"/>
              <w:rPr>
                <w:bCs/>
              </w:rPr>
            </w:pPr>
            <w:r w:rsidRPr="006502E8">
              <w:rPr>
                <w:bCs/>
              </w:rPr>
              <w:t xml:space="preserve">Утвержден Устав ОАО «Каббалкэнерго» в новой редакции (Протокол годового Общего собрания акционеров ОАО «Каббалкэнерго» № 42 от </w:t>
            </w:r>
            <w:r w:rsidRPr="006502E8">
              <w:rPr>
                <w:bCs/>
              </w:rPr>
              <w:lastRenderedPageBreak/>
              <w:t>01.07.2014 г.).</w:t>
            </w:r>
          </w:p>
        </w:tc>
      </w:tr>
      <w:tr w:rsidR="00D02A80" w:rsidRPr="006502E8" w:rsidTr="00116943">
        <w:trPr>
          <w:trHeight w:val="595"/>
        </w:trPr>
        <w:tc>
          <w:tcPr>
            <w:tcW w:w="1908" w:type="dxa"/>
            <w:vAlign w:val="center"/>
          </w:tcPr>
          <w:p w:rsidR="00D02A80" w:rsidRPr="006502E8" w:rsidRDefault="00151576" w:rsidP="00151576">
            <w:pPr>
              <w:jc w:val="center"/>
            </w:pPr>
            <w:r w:rsidRPr="006502E8">
              <w:lastRenderedPageBreak/>
              <w:t xml:space="preserve">26 июня </w:t>
            </w:r>
            <w:r w:rsidR="00D02A80" w:rsidRPr="006502E8">
              <w:t>2014</w:t>
            </w:r>
          </w:p>
        </w:tc>
        <w:tc>
          <w:tcPr>
            <w:tcW w:w="7663" w:type="dxa"/>
            <w:vAlign w:val="center"/>
          </w:tcPr>
          <w:p w:rsidR="00D02A80" w:rsidRPr="006502E8" w:rsidRDefault="00D02A80" w:rsidP="00116943">
            <w:pPr>
              <w:jc w:val="both"/>
              <w:rPr>
                <w:bCs/>
              </w:rPr>
            </w:pPr>
            <w:r w:rsidRPr="006502E8">
              <w:rPr>
                <w:bCs/>
              </w:rPr>
              <w:t>Утверждено Положение о порядке подготовки и проведения Общего собрания акционеров Общества (Протокол годового Общего собрания акционеров ОАО «Каббалкэнерго» № 42 от 01.07.2014 г.).</w:t>
            </w:r>
          </w:p>
        </w:tc>
      </w:tr>
      <w:tr w:rsidR="00D02A80" w:rsidRPr="006502E8" w:rsidTr="00116943">
        <w:trPr>
          <w:trHeight w:val="595"/>
        </w:trPr>
        <w:tc>
          <w:tcPr>
            <w:tcW w:w="1908" w:type="dxa"/>
            <w:vAlign w:val="center"/>
          </w:tcPr>
          <w:p w:rsidR="00D02A80" w:rsidRPr="006502E8" w:rsidRDefault="00151576" w:rsidP="00151576">
            <w:pPr>
              <w:jc w:val="center"/>
            </w:pPr>
            <w:r w:rsidRPr="006502E8">
              <w:t xml:space="preserve">26 июня </w:t>
            </w:r>
            <w:r w:rsidR="00D02A80" w:rsidRPr="006502E8">
              <w:t>2014</w:t>
            </w:r>
          </w:p>
        </w:tc>
        <w:tc>
          <w:tcPr>
            <w:tcW w:w="7663" w:type="dxa"/>
            <w:vAlign w:val="center"/>
          </w:tcPr>
          <w:p w:rsidR="00D02A80" w:rsidRPr="006502E8" w:rsidRDefault="00D02A80" w:rsidP="00116943">
            <w:pPr>
              <w:jc w:val="both"/>
              <w:rPr>
                <w:bCs/>
              </w:rPr>
            </w:pPr>
            <w:r w:rsidRPr="006502E8">
              <w:rPr>
                <w:bCs/>
              </w:rPr>
              <w:t>Утверждено Положение о Ревизионной комиссии Общества (Протокол годового Общего собрания акционеров ОАО «Каббалкэнерго» № 42 от 01.07.2014 г.).</w:t>
            </w:r>
          </w:p>
        </w:tc>
      </w:tr>
      <w:tr w:rsidR="00D02A80" w:rsidRPr="006502E8" w:rsidTr="00116943">
        <w:trPr>
          <w:trHeight w:val="595"/>
        </w:trPr>
        <w:tc>
          <w:tcPr>
            <w:tcW w:w="1908" w:type="dxa"/>
            <w:vAlign w:val="center"/>
          </w:tcPr>
          <w:p w:rsidR="00D02A80" w:rsidRPr="006502E8" w:rsidRDefault="00151576" w:rsidP="00116943">
            <w:pPr>
              <w:jc w:val="center"/>
            </w:pPr>
            <w:r w:rsidRPr="006502E8">
              <w:t xml:space="preserve">02 </w:t>
            </w:r>
            <w:r w:rsidR="00D02A80" w:rsidRPr="006502E8">
              <w:t>октября 2014</w:t>
            </w:r>
          </w:p>
        </w:tc>
        <w:tc>
          <w:tcPr>
            <w:tcW w:w="7663" w:type="dxa"/>
            <w:vAlign w:val="center"/>
          </w:tcPr>
          <w:p w:rsidR="00D02A80" w:rsidRPr="006502E8" w:rsidRDefault="00D02A80" w:rsidP="00116943">
            <w:pPr>
              <w:jc w:val="both"/>
              <w:rPr>
                <w:bCs/>
              </w:rPr>
            </w:pPr>
            <w:r w:rsidRPr="006502E8">
              <w:rPr>
                <w:bCs/>
              </w:rPr>
              <w:t>Утвержден скорректированный бизнес-план ОАО «Каббалкэнерго», включающего инвестиционную программу, на 2014 год, предусматривающего сокращение административных и управленческих расходов на 15% по сравнению с 2013 годом (Протокол заседания Совета директоров ОАО «Каббалкэнерго» № 142 от 03.10.2014 г.).</w:t>
            </w:r>
          </w:p>
        </w:tc>
      </w:tr>
      <w:tr w:rsidR="00D02A80" w:rsidRPr="006502E8" w:rsidTr="00116943">
        <w:trPr>
          <w:trHeight w:val="595"/>
        </w:trPr>
        <w:tc>
          <w:tcPr>
            <w:tcW w:w="1908" w:type="dxa"/>
            <w:vAlign w:val="center"/>
          </w:tcPr>
          <w:p w:rsidR="00D02A80" w:rsidRPr="006502E8" w:rsidRDefault="00151576" w:rsidP="00116943">
            <w:pPr>
              <w:jc w:val="center"/>
            </w:pPr>
            <w:r w:rsidRPr="006502E8">
              <w:t xml:space="preserve">02 </w:t>
            </w:r>
            <w:r w:rsidR="00D02A80" w:rsidRPr="006502E8">
              <w:t>октября 2014</w:t>
            </w:r>
          </w:p>
        </w:tc>
        <w:tc>
          <w:tcPr>
            <w:tcW w:w="7663" w:type="dxa"/>
            <w:vAlign w:val="center"/>
          </w:tcPr>
          <w:p w:rsidR="00D02A80" w:rsidRPr="006502E8" w:rsidRDefault="00D02A80" w:rsidP="00116943">
            <w:pPr>
              <w:jc w:val="both"/>
              <w:rPr>
                <w:bCs/>
              </w:rPr>
            </w:pPr>
            <w:r w:rsidRPr="006502E8">
              <w:rPr>
                <w:bCs/>
              </w:rPr>
              <w:t>Утверждена Политика внутреннего контроля ОАО «Каббалкэнерго» (Протокол заседания Совета директоров ОАО «Каббалкэнерго» № 142 от 03.10.2014 г.).</w:t>
            </w:r>
          </w:p>
        </w:tc>
      </w:tr>
      <w:tr w:rsidR="00D02A80" w:rsidRPr="006502E8" w:rsidTr="00116943">
        <w:trPr>
          <w:trHeight w:val="595"/>
        </w:trPr>
        <w:tc>
          <w:tcPr>
            <w:tcW w:w="1908" w:type="dxa"/>
            <w:vAlign w:val="center"/>
          </w:tcPr>
          <w:p w:rsidR="00D02A80" w:rsidRPr="006502E8" w:rsidRDefault="00151576" w:rsidP="00116943">
            <w:pPr>
              <w:jc w:val="center"/>
            </w:pPr>
            <w:r w:rsidRPr="006502E8">
              <w:t>02</w:t>
            </w:r>
            <w:r w:rsidR="00D02A80" w:rsidRPr="006502E8">
              <w:t xml:space="preserve"> октября 2014</w:t>
            </w:r>
          </w:p>
        </w:tc>
        <w:tc>
          <w:tcPr>
            <w:tcW w:w="7663" w:type="dxa"/>
            <w:vAlign w:val="center"/>
          </w:tcPr>
          <w:p w:rsidR="00D02A80" w:rsidRPr="006502E8" w:rsidRDefault="00D02A80" w:rsidP="00116943">
            <w:pPr>
              <w:jc w:val="both"/>
              <w:rPr>
                <w:bCs/>
              </w:rPr>
            </w:pPr>
            <w:r w:rsidRPr="006502E8">
              <w:rPr>
                <w:bCs/>
              </w:rPr>
              <w:t>Утверждена Политика внутреннего аудита ОАО «Каббалкэнерго» (Протокол заседания Совета директоров ОАО «Каббалкэнерго» № 142 от 03.10.2014 г.).</w:t>
            </w:r>
          </w:p>
        </w:tc>
      </w:tr>
      <w:tr w:rsidR="00151576" w:rsidRPr="006502E8" w:rsidTr="00116943">
        <w:trPr>
          <w:trHeight w:val="595"/>
        </w:trPr>
        <w:tc>
          <w:tcPr>
            <w:tcW w:w="1908" w:type="dxa"/>
            <w:vAlign w:val="center"/>
          </w:tcPr>
          <w:p w:rsidR="00151576" w:rsidRPr="006502E8" w:rsidRDefault="00151576" w:rsidP="001F21E9">
            <w:pPr>
              <w:jc w:val="center"/>
            </w:pPr>
            <w:r w:rsidRPr="006502E8">
              <w:t xml:space="preserve">30 </w:t>
            </w:r>
            <w:r w:rsidR="001F21E9" w:rsidRPr="006502E8">
              <w:t>декабря</w:t>
            </w:r>
            <w:r w:rsidRPr="006502E8">
              <w:t xml:space="preserve"> 2014</w:t>
            </w:r>
          </w:p>
        </w:tc>
        <w:tc>
          <w:tcPr>
            <w:tcW w:w="7663" w:type="dxa"/>
            <w:vAlign w:val="center"/>
          </w:tcPr>
          <w:p w:rsidR="00151576" w:rsidRPr="006502E8" w:rsidRDefault="00151576" w:rsidP="00151576">
            <w:pPr>
              <w:jc w:val="both"/>
              <w:rPr>
                <w:bCs/>
              </w:rPr>
            </w:pPr>
            <w:r w:rsidRPr="006502E8">
              <w:rPr>
                <w:bCs/>
              </w:rPr>
              <w:t>Утвержден бизнес-план ОАО «Каббалкэнерго» на период 2015 года и прогнозные показатели на период 2016-2019 гг. (Протокол заседания Совета директоров ОАО «Каббалкэнерго» № 145 от 13.01.2015 г.).</w:t>
            </w:r>
          </w:p>
        </w:tc>
      </w:tr>
      <w:tr w:rsidR="00151576" w:rsidRPr="006502E8" w:rsidTr="00116943">
        <w:trPr>
          <w:trHeight w:val="595"/>
        </w:trPr>
        <w:tc>
          <w:tcPr>
            <w:tcW w:w="1908" w:type="dxa"/>
            <w:vAlign w:val="center"/>
          </w:tcPr>
          <w:p w:rsidR="00151576" w:rsidRPr="006502E8" w:rsidRDefault="00151576" w:rsidP="001F21E9">
            <w:pPr>
              <w:jc w:val="center"/>
            </w:pPr>
            <w:r w:rsidRPr="006502E8">
              <w:t xml:space="preserve">30 </w:t>
            </w:r>
            <w:r w:rsidR="001F21E9" w:rsidRPr="006502E8">
              <w:t>декабря</w:t>
            </w:r>
            <w:r w:rsidRPr="006502E8">
              <w:t xml:space="preserve"> 2014</w:t>
            </w:r>
          </w:p>
        </w:tc>
        <w:tc>
          <w:tcPr>
            <w:tcW w:w="7663" w:type="dxa"/>
            <w:vAlign w:val="center"/>
          </w:tcPr>
          <w:p w:rsidR="00151576" w:rsidRPr="006502E8" w:rsidRDefault="00151576" w:rsidP="00934E92">
            <w:pPr>
              <w:jc w:val="both"/>
              <w:rPr>
                <w:bCs/>
              </w:rPr>
            </w:pPr>
            <w:r w:rsidRPr="006502E8">
              <w:rPr>
                <w:bCs/>
              </w:rPr>
              <w:t>Утверждена Антикоррупционн</w:t>
            </w:r>
            <w:r w:rsidR="00934E92" w:rsidRPr="006502E8">
              <w:rPr>
                <w:bCs/>
              </w:rPr>
              <w:t>ая</w:t>
            </w:r>
            <w:r w:rsidRPr="006502E8">
              <w:rPr>
                <w:bCs/>
              </w:rPr>
              <w:t xml:space="preserve"> политик</w:t>
            </w:r>
            <w:r w:rsidR="00934E92" w:rsidRPr="006502E8">
              <w:rPr>
                <w:bCs/>
              </w:rPr>
              <w:t>а</w:t>
            </w:r>
            <w:r w:rsidRPr="006502E8">
              <w:rPr>
                <w:bCs/>
              </w:rPr>
              <w:t xml:space="preserve"> ОАО «Россети» и ДЗО ОАО «Россети» в качестве внутреннего документа Общества (Протокол заседания Совета директоров ОАО «Каббалкэнерго» № 145 от 13.01.2015 г.).</w:t>
            </w:r>
          </w:p>
        </w:tc>
      </w:tr>
      <w:tr w:rsidR="00D02A80" w:rsidRPr="006502E8" w:rsidTr="00116943">
        <w:trPr>
          <w:trHeight w:val="346"/>
        </w:trPr>
        <w:tc>
          <w:tcPr>
            <w:tcW w:w="9571" w:type="dxa"/>
            <w:gridSpan w:val="2"/>
            <w:vAlign w:val="center"/>
          </w:tcPr>
          <w:p w:rsidR="00D02A80" w:rsidRPr="006502E8" w:rsidRDefault="00D02A80" w:rsidP="00116943">
            <w:pPr>
              <w:jc w:val="center"/>
              <w:rPr>
                <w:i/>
              </w:rPr>
            </w:pPr>
            <w:r w:rsidRPr="006502E8">
              <w:rPr>
                <w:i/>
              </w:rPr>
              <w:t>Взаимодействие с акционерами и инвесторами</w:t>
            </w:r>
          </w:p>
        </w:tc>
      </w:tr>
      <w:tr w:rsidR="00934E92" w:rsidRPr="006502E8" w:rsidTr="00116943">
        <w:trPr>
          <w:trHeight w:val="404"/>
        </w:trPr>
        <w:tc>
          <w:tcPr>
            <w:tcW w:w="1908" w:type="dxa"/>
            <w:shd w:val="clear" w:color="auto" w:fill="auto"/>
            <w:vAlign w:val="center"/>
          </w:tcPr>
          <w:p w:rsidR="00934E92" w:rsidRPr="006502E8" w:rsidRDefault="00934E92" w:rsidP="00116943">
            <w:pPr>
              <w:jc w:val="center"/>
            </w:pPr>
            <w:r w:rsidRPr="006502E8">
              <w:t>06 марта 2014</w:t>
            </w:r>
          </w:p>
        </w:tc>
        <w:tc>
          <w:tcPr>
            <w:tcW w:w="7663" w:type="dxa"/>
            <w:shd w:val="clear" w:color="auto" w:fill="auto"/>
            <w:vAlign w:val="center"/>
          </w:tcPr>
          <w:p w:rsidR="00934E92" w:rsidRPr="006502E8" w:rsidRDefault="00934E92" w:rsidP="005735FE">
            <w:pPr>
              <w:jc w:val="both"/>
            </w:pPr>
            <w:r w:rsidRPr="006502E8">
              <w:rPr>
                <w:lang w:eastAsia="en-US"/>
              </w:rPr>
              <w:t xml:space="preserve">Состоялось заседание Совета директоров Общества (Протокол Совета директоров ОАО «Каббалкэнерго» от 11.03.2014 №131), на котором рассмотрены предложения акционеров Общества по внесению вопросов в повестку дня годового Общего собрания акционеров Общества и по выдвижению кандидатов в органы управления и контроля Общества, а также определены </w:t>
            </w:r>
            <w:r w:rsidRPr="006502E8">
              <w:rPr>
                <w:bCs/>
              </w:rPr>
              <w:t>даты заседания Совета директоров Общества по рассмотрению вопросов, связанных с подготовкой к проведению годового Общего собрания акционеров Общества.</w:t>
            </w:r>
          </w:p>
        </w:tc>
      </w:tr>
      <w:tr w:rsidR="00934E92" w:rsidRPr="006502E8" w:rsidTr="00116943">
        <w:trPr>
          <w:trHeight w:val="404"/>
        </w:trPr>
        <w:tc>
          <w:tcPr>
            <w:tcW w:w="1908" w:type="dxa"/>
            <w:shd w:val="clear" w:color="auto" w:fill="auto"/>
            <w:vAlign w:val="center"/>
          </w:tcPr>
          <w:p w:rsidR="00934E92" w:rsidRPr="006502E8" w:rsidRDefault="00926861" w:rsidP="00116943">
            <w:pPr>
              <w:jc w:val="center"/>
            </w:pPr>
            <w:r w:rsidRPr="006502E8">
              <w:t>10 апреля 2014</w:t>
            </w:r>
          </w:p>
        </w:tc>
        <w:tc>
          <w:tcPr>
            <w:tcW w:w="7663" w:type="dxa"/>
            <w:shd w:val="clear" w:color="auto" w:fill="auto"/>
            <w:vAlign w:val="center"/>
          </w:tcPr>
          <w:p w:rsidR="00934E92" w:rsidRPr="006502E8" w:rsidRDefault="00934E92" w:rsidP="005735FE">
            <w:pPr>
              <w:jc w:val="both"/>
            </w:pPr>
            <w:r w:rsidRPr="006502E8">
              <w:rPr>
                <w:lang w:eastAsia="en-US"/>
              </w:rPr>
              <w:t xml:space="preserve">Состоялось заседание Совета директоров Общества (Протокол Совета директоров ОАО «Каббалкэнерго» от </w:t>
            </w:r>
            <w:r w:rsidR="00926861" w:rsidRPr="006502E8">
              <w:rPr>
                <w:lang w:eastAsia="en-US"/>
              </w:rPr>
              <w:t>10.04.2014</w:t>
            </w:r>
            <w:r w:rsidRPr="006502E8">
              <w:rPr>
                <w:lang w:eastAsia="en-US"/>
              </w:rPr>
              <w:t xml:space="preserve"> №13</w:t>
            </w:r>
            <w:r w:rsidR="00926861" w:rsidRPr="006502E8">
              <w:rPr>
                <w:lang w:eastAsia="en-US"/>
              </w:rPr>
              <w:t>3</w:t>
            </w:r>
            <w:r w:rsidRPr="006502E8">
              <w:rPr>
                <w:lang w:eastAsia="en-US"/>
              </w:rPr>
              <w:t>), на котором принято решение о созыве годового Общего собрания акционеров Общества и об определении формы его проведения</w:t>
            </w:r>
            <w:r w:rsidR="004F2B16" w:rsidRPr="006502E8">
              <w:rPr>
                <w:lang w:eastAsia="en-US"/>
              </w:rPr>
              <w:t>;</w:t>
            </w:r>
            <w:r w:rsidRPr="006502E8">
              <w:rPr>
                <w:lang w:eastAsia="en-US"/>
              </w:rPr>
              <w:t xml:space="preserve"> </w:t>
            </w:r>
            <w:r w:rsidR="004F2B16" w:rsidRPr="006502E8">
              <w:rPr>
                <w:lang w:eastAsia="en-US"/>
              </w:rPr>
              <w:t>определены</w:t>
            </w:r>
            <w:r w:rsidRPr="006502E8">
              <w:rPr>
                <w:lang w:eastAsia="en-US"/>
              </w:rPr>
              <w:t xml:space="preserve"> дат</w:t>
            </w:r>
            <w:r w:rsidR="004F2B16" w:rsidRPr="006502E8">
              <w:rPr>
                <w:lang w:eastAsia="en-US"/>
              </w:rPr>
              <w:t>а</w:t>
            </w:r>
            <w:r w:rsidRPr="006502E8">
              <w:rPr>
                <w:lang w:eastAsia="en-US"/>
              </w:rPr>
              <w:t>, мест</w:t>
            </w:r>
            <w:r w:rsidR="004F2B16" w:rsidRPr="006502E8">
              <w:rPr>
                <w:lang w:eastAsia="en-US"/>
              </w:rPr>
              <w:t>о</w:t>
            </w:r>
            <w:r w:rsidR="006502E8">
              <w:rPr>
                <w:lang w:eastAsia="en-US"/>
              </w:rPr>
              <w:t xml:space="preserve"> и врем</w:t>
            </w:r>
            <w:r w:rsidR="004F2B16" w:rsidRPr="006502E8">
              <w:rPr>
                <w:lang w:eastAsia="en-US"/>
              </w:rPr>
              <w:t>я</w:t>
            </w:r>
            <w:r w:rsidRPr="006502E8">
              <w:rPr>
                <w:lang w:eastAsia="en-US"/>
              </w:rPr>
              <w:t xml:space="preserve"> проведения годового Общего собрания акционеров Общества, времени начала регистрации лиц, участвующих в годовом Общем собрании акционеров Общества</w:t>
            </w:r>
            <w:r w:rsidR="004F2B16" w:rsidRPr="006502E8">
              <w:rPr>
                <w:lang w:eastAsia="en-US"/>
              </w:rPr>
              <w:t>;</w:t>
            </w:r>
            <w:r w:rsidRPr="006502E8">
              <w:rPr>
                <w:lang w:eastAsia="en-US"/>
              </w:rPr>
              <w:t xml:space="preserve"> определен</w:t>
            </w:r>
            <w:r w:rsidR="004F2B16" w:rsidRPr="006502E8">
              <w:rPr>
                <w:lang w:eastAsia="en-US"/>
              </w:rPr>
              <w:t>а</w:t>
            </w:r>
            <w:r w:rsidRPr="006502E8">
              <w:rPr>
                <w:lang w:eastAsia="en-US"/>
              </w:rPr>
              <w:t xml:space="preserve"> повестк</w:t>
            </w:r>
            <w:r w:rsidR="004F2B16" w:rsidRPr="006502E8">
              <w:rPr>
                <w:lang w:eastAsia="en-US"/>
              </w:rPr>
              <w:t>а</w:t>
            </w:r>
            <w:r w:rsidRPr="006502E8">
              <w:rPr>
                <w:lang w:eastAsia="en-US"/>
              </w:rPr>
              <w:t xml:space="preserve"> дня годового Общего собрания акционеров Общества</w:t>
            </w:r>
            <w:r w:rsidR="004F2B16" w:rsidRPr="006502E8">
              <w:rPr>
                <w:lang w:eastAsia="en-US"/>
              </w:rPr>
              <w:t>;</w:t>
            </w:r>
            <w:r w:rsidRPr="006502E8">
              <w:rPr>
                <w:lang w:eastAsia="en-US"/>
              </w:rPr>
              <w:t xml:space="preserve"> определен</w:t>
            </w:r>
            <w:r w:rsidR="004F2B16" w:rsidRPr="006502E8">
              <w:rPr>
                <w:lang w:eastAsia="en-US"/>
              </w:rPr>
              <w:t>а</w:t>
            </w:r>
            <w:r w:rsidRPr="006502E8">
              <w:rPr>
                <w:lang w:eastAsia="en-US"/>
              </w:rPr>
              <w:t xml:space="preserve"> дат</w:t>
            </w:r>
            <w:r w:rsidR="004F2B16" w:rsidRPr="006502E8">
              <w:rPr>
                <w:lang w:eastAsia="en-US"/>
              </w:rPr>
              <w:t>а</w:t>
            </w:r>
            <w:r w:rsidRPr="006502E8">
              <w:rPr>
                <w:lang w:eastAsia="en-US"/>
              </w:rPr>
              <w:t xml:space="preserve"> составления списка лиц, имеющих право на участие в годовом Общем собрании акционеров Общества.</w:t>
            </w:r>
          </w:p>
        </w:tc>
      </w:tr>
      <w:tr w:rsidR="00926861" w:rsidRPr="006502E8" w:rsidTr="00116943">
        <w:trPr>
          <w:trHeight w:val="404"/>
        </w:trPr>
        <w:tc>
          <w:tcPr>
            <w:tcW w:w="1908" w:type="dxa"/>
            <w:shd w:val="clear" w:color="auto" w:fill="auto"/>
            <w:vAlign w:val="center"/>
          </w:tcPr>
          <w:p w:rsidR="00926861" w:rsidRPr="006502E8" w:rsidRDefault="00926861" w:rsidP="00116943">
            <w:pPr>
              <w:jc w:val="center"/>
            </w:pPr>
            <w:r w:rsidRPr="006502E8">
              <w:t>28 апреля 2014</w:t>
            </w:r>
          </w:p>
        </w:tc>
        <w:tc>
          <w:tcPr>
            <w:tcW w:w="7663" w:type="dxa"/>
            <w:shd w:val="clear" w:color="auto" w:fill="auto"/>
            <w:vAlign w:val="center"/>
          </w:tcPr>
          <w:p w:rsidR="00926861" w:rsidRPr="006502E8" w:rsidRDefault="00926861" w:rsidP="00926861">
            <w:pPr>
              <w:jc w:val="both"/>
            </w:pPr>
            <w:r w:rsidRPr="006502E8">
              <w:rPr>
                <w:lang w:eastAsia="en-US"/>
              </w:rPr>
              <w:t>Состоялось заседание Совета директоров Общества (Протокол Совета директоров ОАО «Каббалкэнерго» от 28.04.2014 №135), на котором рассмотрены вопросы, связанные с подготовкой и проведением годового Общего собрания акционеров Общества, предварительно утвержден годовой отчет Общества за 2013 год и рассмотрена кандидатура аудитора Общества.</w:t>
            </w:r>
          </w:p>
        </w:tc>
      </w:tr>
      <w:tr w:rsidR="00926861" w:rsidRPr="006502E8" w:rsidTr="00116943">
        <w:trPr>
          <w:trHeight w:val="404"/>
        </w:trPr>
        <w:tc>
          <w:tcPr>
            <w:tcW w:w="1908" w:type="dxa"/>
            <w:shd w:val="clear" w:color="auto" w:fill="auto"/>
            <w:vAlign w:val="center"/>
          </w:tcPr>
          <w:p w:rsidR="00926861" w:rsidRPr="006502E8" w:rsidRDefault="00926861" w:rsidP="00116943">
            <w:pPr>
              <w:jc w:val="center"/>
            </w:pPr>
            <w:r w:rsidRPr="006502E8">
              <w:lastRenderedPageBreak/>
              <w:t>22 мая 2014</w:t>
            </w:r>
          </w:p>
        </w:tc>
        <w:tc>
          <w:tcPr>
            <w:tcW w:w="7663" w:type="dxa"/>
            <w:shd w:val="clear" w:color="auto" w:fill="auto"/>
            <w:vAlign w:val="center"/>
          </w:tcPr>
          <w:p w:rsidR="00926861" w:rsidRPr="006502E8" w:rsidRDefault="00926861" w:rsidP="004F2B16">
            <w:pPr>
              <w:jc w:val="both"/>
            </w:pPr>
            <w:r w:rsidRPr="006502E8">
              <w:rPr>
                <w:lang w:eastAsia="en-US"/>
              </w:rPr>
              <w:t>Состоялось заседание Совета директоров Общества (Протокол Совета директоров ОАО «Каббалкэнерго» от 26.05.2014 №136) на котором утверждена повестка дня годового Общего собрания акционеров Общества, рассмотрена годовая бухгалтерская отчетность Общества за 2013 год</w:t>
            </w:r>
            <w:r w:rsidR="005E323D" w:rsidRPr="006502E8">
              <w:rPr>
                <w:lang w:eastAsia="en-US"/>
              </w:rPr>
              <w:t xml:space="preserve"> и рекомендации по размеру дивиденда по акциям Общества и порядку его выплаты по итогам 2013 года,</w:t>
            </w:r>
            <w:r w:rsidR="004F2B16" w:rsidRPr="006502E8">
              <w:rPr>
                <w:lang w:eastAsia="en-US"/>
              </w:rPr>
              <w:t xml:space="preserve"> а также </w:t>
            </w:r>
            <w:r w:rsidR="005E323D" w:rsidRPr="006502E8">
              <w:rPr>
                <w:lang w:eastAsia="en-US"/>
              </w:rPr>
              <w:t xml:space="preserve"> </w:t>
            </w:r>
            <w:r w:rsidR="004F2B16" w:rsidRPr="006502E8">
              <w:rPr>
                <w:lang w:eastAsia="en-US"/>
              </w:rPr>
              <w:t>рассмотрены иные вопросы, связанные с подготовкой и проведением годового Общего собрания акционеров Общества.</w:t>
            </w:r>
          </w:p>
        </w:tc>
      </w:tr>
      <w:tr w:rsidR="00D02A80" w:rsidRPr="006502E8" w:rsidTr="00116943">
        <w:trPr>
          <w:trHeight w:val="404"/>
        </w:trPr>
        <w:tc>
          <w:tcPr>
            <w:tcW w:w="1908" w:type="dxa"/>
            <w:shd w:val="clear" w:color="auto" w:fill="auto"/>
            <w:vAlign w:val="center"/>
          </w:tcPr>
          <w:p w:rsidR="00D02A80" w:rsidRPr="006502E8" w:rsidRDefault="00D02A80" w:rsidP="00116943">
            <w:pPr>
              <w:jc w:val="center"/>
            </w:pPr>
            <w:r w:rsidRPr="006502E8">
              <w:t>26 июня 2014</w:t>
            </w:r>
          </w:p>
        </w:tc>
        <w:tc>
          <w:tcPr>
            <w:tcW w:w="7663" w:type="dxa"/>
            <w:shd w:val="clear" w:color="auto" w:fill="auto"/>
            <w:vAlign w:val="center"/>
          </w:tcPr>
          <w:p w:rsidR="005735FE" w:rsidRPr="006502E8" w:rsidRDefault="00D02A80" w:rsidP="00116943">
            <w:pPr>
              <w:jc w:val="both"/>
            </w:pPr>
            <w:r w:rsidRPr="006502E8">
              <w:t>Проведено годовое Общее собрание акционеров ОАО «Каббалкэнерго»</w:t>
            </w:r>
          </w:p>
          <w:p w:rsidR="00D02A80" w:rsidRPr="006502E8" w:rsidRDefault="005735FE" w:rsidP="005735FE">
            <w:pPr>
              <w:jc w:val="both"/>
            </w:pPr>
            <w:r w:rsidRPr="006502E8">
              <w:t>(Протокол годового Общего Собрания акционеров Общества от 01.07.2014 №42).</w:t>
            </w:r>
            <w:r w:rsidR="00D02A80" w:rsidRPr="006502E8">
              <w:rPr>
                <w:rFonts w:asciiTheme="minorHAnsi" w:eastAsiaTheme="minorHAnsi" w:hAnsiTheme="minorHAnsi" w:cstheme="minorBidi"/>
                <w:sz w:val="22"/>
                <w:szCs w:val="22"/>
                <w:lang w:eastAsia="en-US"/>
              </w:rPr>
              <w:t xml:space="preserve"> </w:t>
            </w:r>
          </w:p>
        </w:tc>
      </w:tr>
      <w:tr w:rsidR="00D02A80" w:rsidRPr="006502E8" w:rsidTr="00116943">
        <w:trPr>
          <w:trHeight w:val="333"/>
        </w:trPr>
        <w:tc>
          <w:tcPr>
            <w:tcW w:w="9571" w:type="dxa"/>
            <w:gridSpan w:val="2"/>
            <w:vAlign w:val="center"/>
          </w:tcPr>
          <w:p w:rsidR="00D02A80" w:rsidRPr="006502E8" w:rsidRDefault="00D02A80" w:rsidP="00116943">
            <w:pPr>
              <w:jc w:val="center"/>
              <w:rPr>
                <w:i/>
              </w:rPr>
            </w:pPr>
            <w:r w:rsidRPr="006502E8">
              <w:rPr>
                <w:i/>
              </w:rPr>
              <w:t>Менеджмент</w:t>
            </w:r>
          </w:p>
        </w:tc>
      </w:tr>
      <w:tr w:rsidR="00D02A80" w:rsidRPr="006502E8" w:rsidTr="00116943">
        <w:tc>
          <w:tcPr>
            <w:tcW w:w="1908" w:type="dxa"/>
            <w:vAlign w:val="center"/>
          </w:tcPr>
          <w:p w:rsidR="00D02A80" w:rsidRPr="006502E8" w:rsidRDefault="00EB70FD" w:rsidP="00EB70FD">
            <w:pPr>
              <w:jc w:val="center"/>
            </w:pPr>
            <w:r w:rsidRPr="006502E8">
              <w:t xml:space="preserve">31 января </w:t>
            </w:r>
            <w:r w:rsidR="00D02A80" w:rsidRPr="006502E8">
              <w:t>2014</w:t>
            </w:r>
          </w:p>
        </w:tc>
        <w:tc>
          <w:tcPr>
            <w:tcW w:w="7663" w:type="dxa"/>
            <w:vAlign w:val="center"/>
          </w:tcPr>
          <w:p w:rsidR="00D02A80" w:rsidRPr="006502E8" w:rsidRDefault="00D02A80" w:rsidP="00D331B9">
            <w:pPr>
              <w:jc w:val="both"/>
              <w:rPr>
                <w:bCs/>
              </w:rPr>
            </w:pPr>
            <w:r w:rsidRPr="006502E8">
              <w:rPr>
                <w:bCs/>
              </w:rPr>
              <w:t>Внесены изменения в состав ключевых показателей эффективности (КПЭ) для Генерального директора и Высших менеджеров Общества и утверждена методика расчета, оценки выполнения и целевого значения КПЭ «Расчет с поставщиками оптового рынка электроэнергии» для Генерального директора и Высших менеджеров Общества (Протокол заседания Совета директоров ОАО «Каббалкэнерго» № 128 от 03.02.2014 г.).</w:t>
            </w:r>
          </w:p>
        </w:tc>
      </w:tr>
      <w:tr w:rsidR="00D02A80" w:rsidRPr="006502E8" w:rsidTr="00116943">
        <w:trPr>
          <w:trHeight w:val="357"/>
        </w:trPr>
        <w:tc>
          <w:tcPr>
            <w:tcW w:w="9571" w:type="dxa"/>
            <w:gridSpan w:val="2"/>
            <w:vAlign w:val="center"/>
          </w:tcPr>
          <w:p w:rsidR="00D02A80" w:rsidRPr="006502E8" w:rsidRDefault="00D02A80" w:rsidP="00116943">
            <w:pPr>
              <w:jc w:val="center"/>
              <w:rPr>
                <w:i/>
              </w:rPr>
            </w:pPr>
            <w:r w:rsidRPr="006502E8">
              <w:rPr>
                <w:i/>
              </w:rPr>
              <w:t>Оптовый рынок электроэнергии и мощности</w:t>
            </w:r>
          </w:p>
        </w:tc>
      </w:tr>
      <w:tr w:rsidR="00035701" w:rsidRPr="006502E8" w:rsidTr="00116943">
        <w:tc>
          <w:tcPr>
            <w:tcW w:w="1908" w:type="dxa"/>
            <w:shd w:val="clear" w:color="auto" w:fill="auto"/>
            <w:vAlign w:val="center"/>
          </w:tcPr>
          <w:p w:rsidR="00035701" w:rsidRPr="006502E8" w:rsidRDefault="00035701" w:rsidP="00116943">
            <w:pPr>
              <w:spacing w:after="200" w:line="276" w:lineRule="auto"/>
              <w:jc w:val="center"/>
              <w:rPr>
                <w:rFonts w:eastAsiaTheme="minorHAnsi"/>
                <w:bCs/>
                <w:lang w:eastAsia="en-US"/>
              </w:rPr>
            </w:pPr>
            <w:r w:rsidRPr="006502E8">
              <w:rPr>
                <w:rFonts w:eastAsiaTheme="minorHAnsi"/>
                <w:bCs/>
                <w:lang w:eastAsia="en-US"/>
              </w:rPr>
              <w:t>29 июля 2014</w:t>
            </w:r>
          </w:p>
        </w:tc>
        <w:tc>
          <w:tcPr>
            <w:tcW w:w="7663" w:type="dxa"/>
            <w:shd w:val="clear" w:color="auto" w:fill="auto"/>
          </w:tcPr>
          <w:p w:rsidR="00035701" w:rsidRPr="006502E8" w:rsidRDefault="00046309" w:rsidP="0065306A">
            <w:pPr>
              <w:jc w:val="both"/>
              <w:rPr>
                <w:rFonts w:eastAsiaTheme="minorHAnsi"/>
                <w:bCs/>
                <w:lang w:eastAsia="en-US"/>
              </w:rPr>
            </w:pPr>
            <w:r w:rsidRPr="006502E8">
              <w:rPr>
                <w:rFonts w:eastAsiaTheme="minorHAnsi"/>
                <w:bCs/>
                <w:lang w:eastAsia="en-US"/>
              </w:rPr>
              <w:t>Наблюдательным советом НП «Совет рынка» приняты изменения в Договор о присоединении к торговой системе оптового рынка в отношении ОАО «Каббалкэнерго», которые отменяют с 01.08.2014 регистрацию дополнительных соглашений к РД о переходе на прямые расчеты и устанавливают период приостановки начисления и списания неустойки (пени) на ОРЭМ с 01.08.2014 по 31.12.2014 г.</w:t>
            </w:r>
          </w:p>
        </w:tc>
      </w:tr>
      <w:tr w:rsidR="00035701" w:rsidRPr="006502E8" w:rsidTr="00116943">
        <w:tc>
          <w:tcPr>
            <w:tcW w:w="1908" w:type="dxa"/>
            <w:shd w:val="clear" w:color="auto" w:fill="auto"/>
            <w:vAlign w:val="center"/>
          </w:tcPr>
          <w:p w:rsidR="00035701" w:rsidRPr="006502E8" w:rsidRDefault="00035701" w:rsidP="00116943">
            <w:pPr>
              <w:spacing w:after="200" w:line="276" w:lineRule="auto"/>
              <w:jc w:val="center"/>
              <w:rPr>
                <w:rFonts w:eastAsiaTheme="minorHAnsi"/>
                <w:bCs/>
                <w:lang w:eastAsia="en-US"/>
              </w:rPr>
            </w:pPr>
            <w:r w:rsidRPr="006502E8">
              <w:rPr>
                <w:rFonts w:eastAsiaTheme="minorHAnsi"/>
                <w:bCs/>
                <w:lang w:eastAsia="en-US"/>
              </w:rPr>
              <w:t>31 декабря 2014</w:t>
            </w:r>
          </w:p>
        </w:tc>
        <w:tc>
          <w:tcPr>
            <w:tcW w:w="7663" w:type="dxa"/>
            <w:shd w:val="clear" w:color="auto" w:fill="auto"/>
          </w:tcPr>
          <w:p w:rsidR="00035701" w:rsidRPr="006502E8" w:rsidRDefault="00841EBB" w:rsidP="0065306A">
            <w:pPr>
              <w:jc w:val="both"/>
            </w:pPr>
            <w:r w:rsidRPr="006502E8">
              <w:t>Федеральным законом от 29.12.2014 № 466 для покупателей электрической энергии (мощности), функционирующих в отдельных частях ценовых зон оптового рынка, с 01 января 2015 года продлены особые условия функционирования оптового и розничного рынков электрической энергии и мощности с постепенным доведением на указанных территориях регулируемых цен (тарифов) на электрическую энергию до экономически обоснованного уровня.</w:t>
            </w:r>
          </w:p>
        </w:tc>
      </w:tr>
      <w:tr w:rsidR="00D02A80" w:rsidRPr="006502E8" w:rsidTr="0065306A">
        <w:trPr>
          <w:trHeight w:val="342"/>
        </w:trPr>
        <w:tc>
          <w:tcPr>
            <w:tcW w:w="9571" w:type="dxa"/>
            <w:gridSpan w:val="2"/>
            <w:vAlign w:val="center"/>
          </w:tcPr>
          <w:p w:rsidR="00D02A80" w:rsidRPr="006502E8" w:rsidRDefault="00D02A80" w:rsidP="00116943">
            <w:pPr>
              <w:jc w:val="center"/>
            </w:pPr>
            <w:r w:rsidRPr="006502E8">
              <w:rPr>
                <w:i/>
              </w:rPr>
              <w:t>Качество обслуживания клиентов</w:t>
            </w:r>
          </w:p>
        </w:tc>
      </w:tr>
      <w:tr w:rsidR="00D02A80" w:rsidRPr="006502E8" w:rsidTr="00116943">
        <w:trPr>
          <w:trHeight w:val="239"/>
        </w:trPr>
        <w:tc>
          <w:tcPr>
            <w:tcW w:w="1908" w:type="dxa"/>
            <w:vAlign w:val="center"/>
          </w:tcPr>
          <w:p w:rsidR="00D02A80" w:rsidRPr="006502E8" w:rsidRDefault="00D02A80" w:rsidP="00116943">
            <w:pPr>
              <w:jc w:val="center"/>
            </w:pPr>
            <w:r w:rsidRPr="006502E8">
              <w:t>27 марта 2014</w:t>
            </w:r>
          </w:p>
        </w:tc>
        <w:tc>
          <w:tcPr>
            <w:tcW w:w="7663" w:type="dxa"/>
            <w:vAlign w:val="center"/>
          </w:tcPr>
          <w:p w:rsidR="00D02A80" w:rsidRPr="006502E8" w:rsidRDefault="00D02A80" w:rsidP="00D331B9">
            <w:pPr>
              <w:jc w:val="both"/>
            </w:pPr>
            <w:r w:rsidRPr="006502E8">
              <w:t>Открыт второй центр обслуживания клиентов в столице республики г. Нальчик, по адресу ул. Кабардинская, д. 152.</w:t>
            </w:r>
          </w:p>
        </w:tc>
      </w:tr>
      <w:tr w:rsidR="00D02A80" w:rsidRPr="006502E8" w:rsidTr="00116943">
        <w:tc>
          <w:tcPr>
            <w:tcW w:w="1908" w:type="dxa"/>
            <w:vAlign w:val="center"/>
          </w:tcPr>
          <w:p w:rsidR="00D02A80" w:rsidRPr="006502E8" w:rsidRDefault="00FC000A" w:rsidP="00116943">
            <w:pPr>
              <w:jc w:val="center"/>
            </w:pPr>
            <w:r w:rsidRPr="006502E8">
              <w:t xml:space="preserve">26 </w:t>
            </w:r>
            <w:r w:rsidR="00D02A80" w:rsidRPr="006502E8">
              <w:t>августа 2014</w:t>
            </w:r>
          </w:p>
        </w:tc>
        <w:tc>
          <w:tcPr>
            <w:tcW w:w="7663" w:type="dxa"/>
            <w:vAlign w:val="center"/>
          </w:tcPr>
          <w:p w:rsidR="00D02A80" w:rsidRPr="006502E8" w:rsidRDefault="00D02A80" w:rsidP="00D331B9">
            <w:pPr>
              <w:jc w:val="both"/>
            </w:pPr>
            <w:r w:rsidRPr="006502E8">
              <w:t>Открыт третий центр обслуживания клиентов в Терском районе г.Терек, по адресу ул. Ленина, д. 32.</w:t>
            </w:r>
          </w:p>
        </w:tc>
      </w:tr>
      <w:tr w:rsidR="00D02A80" w:rsidRPr="006502E8" w:rsidTr="00116943">
        <w:tc>
          <w:tcPr>
            <w:tcW w:w="1908" w:type="dxa"/>
            <w:vAlign w:val="center"/>
          </w:tcPr>
          <w:p w:rsidR="00D02A80" w:rsidRPr="006502E8" w:rsidRDefault="00D02A80" w:rsidP="00116943">
            <w:pPr>
              <w:jc w:val="center"/>
            </w:pPr>
            <w:r w:rsidRPr="006502E8">
              <w:t>15 марта 2014</w:t>
            </w:r>
          </w:p>
        </w:tc>
        <w:tc>
          <w:tcPr>
            <w:tcW w:w="7663" w:type="dxa"/>
            <w:vAlign w:val="center"/>
          </w:tcPr>
          <w:p w:rsidR="00D02A80" w:rsidRPr="006502E8" w:rsidRDefault="00D02A80" w:rsidP="00D331B9">
            <w:pPr>
              <w:jc w:val="both"/>
            </w:pPr>
            <w:r w:rsidRPr="006502E8">
              <w:t xml:space="preserve">Открыт четвертый центр обслуживания клиентов в Лескенском районе, с.Анзорей, по адресу ул. Хамгокова, д. 22. </w:t>
            </w:r>
          </w:p>
        </w:tc>
      </w:tr>
      <w:tr w:rsidR="00D02A80" w:rsidRPr="006502E8" w:rsidTr="00116943">
        <w:tc>
          <w:tcPr>
            <w:tcW w:w="1908" w:type="dxa"/>
            <w:vAlign w:val="center"/>
          </w:tcPr>
          <w:p w:rsidR="00D02A80" w:rsidRPr="006502E8" w:rsidRDefault="00D02A80" w:rsidP="00116943">
            <w:pPr>
              <w:jc w:val="center"/>
            </w:pPr>
            <w:r w:rsidRPr="006502E8">
              <w:t>9 октября 2014</w:t>
            </w:r>
          </w:p>
        </w:tc>
        <w:tc>
          <w:tcPr>
            <w:tcW w:w="7663" w:type="dxa"/>
            <w:vAlign w:val="center"/>
          </w:tcPr>
          <w:p w:rsidR="00D02A80" w:rsidRPr="006502E8" w:rsidRDefault="00D02A80" w:rsidP="00D331B9">
            <w:pPr>
              <w:jc w:val="both"/>
            </w:pPr>
            <w:r w:rsidRPr="006502E8">
              <w:t>Открыт пятый центр обслуживания клиентов в Зольском районе, п.Залукокоаже, по адресу ул. Комсомольская, д. 34.</w:t>
            </w:r>
          </w:p>
        </w:tc>
      </w:tr>
      <w:tr w:rsidR="00D02A80" w:rsidRPr="006502E8" w:rsidTr="00116943">
        <w:tc>
          <w:tcPr>
            <w:tcW w:w="1908" w:type="dxa"/>
            <w:vAlign w:val="center"/>
          </w:tcPr>
          <w:p w:rsidR="00D02A80" w:rsidRPr="006502E8" w:rsidRDefault="00FC000A" w:rsidP="00046309">
            <w:pPr>
              <w:jc w:val="center"/>
            </w:pPr>
            <w:r w:rsidRPr="006502E8">
              <w:t xml:space="preserve">15 </w:t>
            </w:r>
            <w:r w:rsidR="00D02A80" w:rsidRPr="006502E8">
              <w:t>сентября 2014</w:t>
            </w:r>
          </w:p>
        </w:tc>
        <w:tc>
          <w:tcPr>
            <w:tcW w:w="7663" w:type="dxa"/>
            <w:vAlign w:val="center"/>
          </w:tcPr>
          <w:p w:rsidR="00D02A80" w:rsidRPr="006502E8" w:rsidRDefault="00D02A80" w:rsidP="00D331B9">
            <w:pPr>
              <w:jc w:val="both"/>
            </w:pPr>
            <w:r w:rsidRPr="006502E8">
              <w:t>Открыт шестой центр обслуживания клиентов в Черекский район, п. Кашхатау, по адресу ул. Мечиева, д. 141.</w:t>
            </w:r>
          </w:p>
        </w:tc>
      </w:tr>
      <w:tr w:rsidR="00D02A80" w:rsidRPr="006502E8" w:rsidTr="00116943">
        <w:tc>
          <w:tcPr>
            <w:tcW w:w="1908" w:type="dxa"/>
            <w:vAlign w:val="center"/>
          </w:tcPr>
          <w:p w:rsidR="00D02A80" w:rsidRPr="006502E8" w:rsidRDefault="007E7C54" w:rsidP="00D331B9">
            <w:pPr>
              <w:jc w:val="center"/>
            </w:pPr>
            <w:r w:rsidRPr="006502E8">
              <w:t>3 декабря</w:t>
            </w:r>
            <w:r w:rsidR="00D02A80" w:rsidRPr="006502E8">
              <w:t>2014</w:t>
            </w:r>
          </w:p>
        </w:tc>
        <w:tc>
          <w:tcPr>
            <w:tcW w:w="7663" w:type="dxa"/>
            <w:vAlign w:val="center"/>
          </w:tcPr>
          <w:p w:rsidR="00D02A80" w:rsidRPr="006502E8" w:rsidRDefault="00D02A80">
            <w:pPr>
              <w:jc w:val="both"/>
            </w:pPr>
            <w:r w:rsidRPr="006502E8">
              <w:t>Открыт седьмой центр обслуживания клиентов в г.Нальчик в Многофункциональном центре КБР, по адресу ул. Хуранова, д. 9.</w:t>
            </w:r>
          </w:p>
        </w:tc>
      </w:tr>
      <w:tr w:rsidR="00D02A80" w:rsidRPr="006502E8" w:rsidTr="00116943">
        <w:tc>
          <w:tcPr>
            <w:tcW w:w="1908" w:type="dxa"/>
            <w:vAlign w:val="center"/>
          </w:tcPr>
          <w:p w:rsidR="00D02A80" w:rsidRPr="006502E8" w:rsidRDefault="00D02A80" w:rsidP="00116943">
            <w:pPr>
              <w:jc w:val="center"/>
            </w:pPr>
            <w:r w:rsidRPr="006502E8">
              <w:t>Ноябрь 2014</w:t>
            </w:r>
          </w:p>
        </w:tc>
        <w:tc>
          <w:tcPr>
            <w:tcW w:w="7663" w:type="dxa"/>
            <w:vAlign w:val="center"/>
          </w:tcPr>
          <w:p w:rsidR="00D02A80" w:rsidRPr="006502E8" w:rsidRDefault="00D02A80" w:rsidP="00D331B9">
            <w:pPr>
              <w:jc w:val="both"/>
            </w:pPr>
            <w:r w:rsidRPr="006502E8">
              <w:t>Для удобства клиентов-потребителей электрической энергии на сайте ОАО «Каббалкэнерго» (</w:t>
            </w:r>
            <w:hyperlink r:id="rId11" w:history="1">
              <w:r w:rsidRPr="006502E8">
                <w:rPr>
                  <w:lang w:val="en-US"/>
                </w:rPr>
                <w:t>www</w:t>
              </w:r>
              <w:r w:rsidRPr="006502E8">
                <w:t>.kabbalkenergo.ru</w:t>
              </w:r>
            </w:hyperlink>
            <w:r w:rsidRPr="006502E8">
              <w:t>) созданы личные кабинеты для физических лиц и юридических лиц.</w:t>
            </w:r>
          </w:p>
        </w:tc>
      </w:tr>
      <w:tr w:rsidR="00D02A80" w:rsidRPr="006502E8" w:rsidTr="008A772D">
        <w:trPr>
          <w:trHeight w:val="274"/>
        </w:trPr>
        <w:tc>
          <w:tcPr>
            <w:tcW w:w="9571" w:type="dxa"/>
            <w:gridSpan w:val="2"/>
            <w:vAlign w:val="center"/>
          </w:tcPr>
          <w:p w:rsidR="00D02A80" w:rsidRPr="006502E8" w:rsidRDefault="00FC000A" w:rsidP="00D10DCD">
            <w:pPr>
              <w:jc w:val="center"/>
              <w:rPr>
                <w:i/>
              </w:rPr>
            </w:pPr>
            <w:r w:rsidRPr="006502E8">
              <w:rPr>
                <w:i/>
              </w:rPr>
              <w:t>Информационные технологии и коммуникации</w:t>
            </w:r>
          </w:p>
        </w:tc>
      </w:tr>
      <w:tr w:rsidR="00D02A80" w:rsidRPr="00E12E5B" w:rsidTr="00116943">
        <w:tc>
          <w:tcPr>
            <w:tcW w:w="1908" w:type="dxa"/>
            <w:vAlign w:val="center"/>
          </w:tcPr>
          <w:p w:rsidR="00D02A80" w:rsidRPr="006502E8" w:rsidRDefault="00FC000A" w:rsidP="00116943">
            <w:pPr>
              <w:jc w:val="center"/>
            </w:pPr>
            <w:r w:rsidRPr="006502E8">
              <w:t>1 июля 2014</w:t>
            </w:r>
          </w:p>
        </w:tc>
        <w:tc>
          <w:tcPr>
            <w:tcW w:w="7663" w:type="dxa"/>
            <w:vAlign w:val="center"/>
          </w:tcPr>
          <w:p w:rsidR="00D02A80" w:rsidRPr="00507F6D" w:rsidRDefault="00951147" w:rsidP="00116943">
            <w:pPr>
              <w:jc w:val="both"/>
              <w:rPr>
                <w:i/>
              </w:rPr>
            </w:pPr>
            <w:r w:rsidRPr="006502E8">
              <w:t xml:space="preserve">В соответствии с приказом Генерального директора </w:t>
            </w:r>
            <w:r w:rsidR="007D6C36" w:rsidRPr="006502E8">
              <w:t xml:space="preserve">ОАО </w:t>
            </w:r>
            <w:r w:rsidR="007D6C36" w:rsidRPr="006502E8">
              <w:lastRenderedPageBreak/>
              <w:t xml:space="preserve">«Каббалкэнерго» </w:t>
            </w:r>
            <w:r w:rsidRPr="006502E8">
              <w:t>от</w:t>
            </w:r>
            <w:r w:rsidR="007D6C36" w:rsidRPr="006502E8">
              <w:t xml:space="preserve"> </w:t>
            </w:r>
            <w:r w:rsidRPr="006502E8">
              <w:t>17.06.2014</w:t>
            </w:r>
            <w:r w:rsidR="007D6C36" w:rsidRPr="006502E8">
              <w:t xml:space="preserve"> </w:t>
            </w:r>
            <w:r w:rsidRPr="006502E8">
              <w:t>г. №</w:t>
            </w:r>
            <w:r w:rsidR="007D6C36" w:rsidRPr="006502E8">
              <w:t xml:space="preserve"> </w:t>
            </w:r>
            <w:r w:rsidRPr="006502E8">
              <w:t>107 внедрен</w:t>
            </w:r>
            <w:r w:rsidR="00B416B3" w:rsidRPr="006502E8">
              <w:t xml:space="preserve"> </w:t>
            </w:r>
            <w:r w:rsidRPr="006502E8">
              <w:t>программный комплекс</w:t>
            </w:r>
            <w:r w:rsidR="00B416B3" w:rsidRPr="006502E8">
              <w:t xml:space="preserve"> «С</w:t>
            </w:r>
            <w:r w:rsidRPr="006502E8">
              <w:t>ТЕК</w:t>
            </w:r>
            <w:r w:rsidR="00B416B3" w:rsidRPr="006502E8">
              <w:t>-Энерго», обладающ</w:t>
            </w:r>
            <w:r w:rsidR="007D6C36" w:rsidRPr="006502E8">
              <w:t>ий</w:t>
            </w:r>
            <w:r w:rsidR="00B416B3" w:rsidRPr="006502E8">
              <w:t xml:space="preserve"> расширенными возможностями для автоматизации энергосбытовой деятельности и повышения качества обслуживания клиентов.</w:t>
            </w:r>
          </w:p>
        </w:tc>
      </w:tr>
    </w:tbl>
    <w:p w:rsidR="00F51533" w:rsidRPr="000019BC" w:rsidRDefault="00B416B3" w:rsidP="0065306A">
      <w:pPr>
        <w:tabs>
          <w:tab w:val="left" w:pos="540"/>
        </w:tabs>
        <w:suppressAutoHyphens/>
        <w:spacing w:before="100" w:beforeAutospacing="1" w:after="100" w:afterAutospacing="1"/>
        <w:jc w:val="center"/>
        <w:rPr>
          <w:b/>
          <w:szCs w:val="28"/>
        </w:rPr>
      </w:pPr>
      <w:r w:rsidRPr="000019BC">
        <w:rPr>
          <w:b/>
          <w:szCs w:val="28"/>
        </w:rPr>
        <w:lastRenderedPageBreak/>
        <w:t>1.4.</w:t>
      </w:r>
      <w:r w:rsidR="00D000D1" w:rsidRPr="000019BC">
        <w:rPr>
          <w:b/>
          <w:szCs w:val="28"/>
        </w:rPr>
        <w:tab/>
        <w:t>Система управления рисками и внутреннего контроля Общества</w:t>
      </w:r>
    </w:p>
    <w:p w:rsidR="008845BF" w:rsidRPr="008845BF" w:rsidRDefault="008845BF" w:rsidP="008845BF">
      <w:pPr>
        <w:ind w:firstLine="709"/>
        <w:jc w:val="both"/>
      </w:pPr>
      <w:r w:rsidRPr="008845BF">
        <w:t>Система внутреннего контроля  и управления рисками (далее - СВК и УР) Общества - элемент системы корпоративного управления Общества, включающий в себя весь диапазон процедур, методов и механизмов контроля, создаваемых и используемых Советом директоров, ревизионной комиссией, исполнительными органами управления, руководством и всеми работниками Общества, направленных на обеспечение разумных гарантий достижения целей по следующим направлениям:</w:t>
      </w:r>
    </w:p>
    <w:p w:rsidR="008845BF" w:rsidRPr="008845BF" w:rsidRDefault="008845BF" w:rsidP="008845BF">
      <w:pPr>
        <w:numPr>
          <w:ilvl w:val="0"/>
          <w:numId w:val="51"/>
        </w:numPr>
        <w:tabs>
          <w:tab w:val="left" w:pos="426"/>
          <w:tab w:val="left" w:pos="993"/>
        </w:tabs>
        <w:ind w:firstLine="709"/>
        <w:jc w:val="both"/>
      </w:pPr>
      <w:r w:rsidRPr="008845BF">
        <w:t>эффективность и результативность организации деятельности;</w:t>
      </w:r>
    </w:p>
    <w:p w:rsidR="008845BF" w:rsidRPr="008845BF" w:rsidRDefault="008845BF" w:rsidP="008845BF">
      <w:pPr>
        <w:numPr>
          <w:ilvl w:val="0"/>
          <w:numId w:val="51"/>
        </w:numPr>
        <w:tabs>
          <w:tab w:val="left" w:pos="426"/>
          <w:tab w:val="left" w:pos="993"/>
        </w:tabs>
        <w:ind w:firstLine="709"/>
        <w:jc w:val="both"/>
      </w:pPr>
      <w:r w:rsidRPr="008845BF">
        <w:t>соблюдение требований законодательства, применимых к деятельности Общества, а также требований локальных нормативных актов Общества;</w:t>
      </w:r>
    </w:p>
    <w:p w:rsidR="008845BF" w:rsidRPr="008845BF" w:rsidRDefault="008845BF" w:rsidP="008845BF">
      <w:pPr>
        <w:numPr>
          <w:ilvl w:val="0"/>
          <w:numId w:val="51"/>
        </w:numPr>
        <w:tabs>
          <w:tab w:val="left" w:pos="426"/>
          <w:tab w:val="left" w:pos="993"/>
        </w:tabs>
        <w:ind w:firstLine="709"/>
        <w:jc w:val="both"/>
      </w:pPr>
      <w:r w:rsidRPr="008845BF">
        <w:t>предотвращение неправомерных действий работников Общества и третьих лиц в отношении активов Общества;</w:t>
      </w:r>
    </w:p>
    <w:p w:rsidR="008845BF" w:rsidRPr="008845BF" w:rsidRDefault="008845BF" w:rsidP="008845BF">
      <w:pPr>
        <w:numPr>
          <w:ilvl w:val="0"/>
          <w:numId w:val="51"/>
        </w:numPr>
        <w:tabs>
          <w:tab w:val="left" w:pos="426"/>
          <w:tab w:val="left" w:pos="993"/>
        </w:tabs>
        <w:ind w:firstLine="709"/>
        <w:jc w:val="both"/>
      </w:pPr>
      <w:r w:rsidRPr="008845BF">
        <w:t>достоверность, полнота и своевременность подготовки всех видов отчетности.</w:t>
      </w:r>
    </w:p>
    <w:p w:rsidR="008845BF" w:rsidRPr="008845BF" w:rsidRDefault="008845BF" w:rsidP="008845BF">
      <w:pPr>
        <w:ind w:firstLine="709"/>
        <w:jc w:val="both"/>
      </w:pPr>
      <w:r w:rsidRPr="008845BF">
        <w:t>В целях развития СВК и УР в Обществе Протоколом Заседания Совета директоров от 03.10.2014 №142 утверждены внутренние документы:</w:t>
      </w:r>
    </w:p>
    <w:p w:rsidR="008845BF" w:rsidRPr="008845BF" w:rsidRDefault="008845BF" w:rsidP="008845BF">
      <w:pPr>
        <w:numPr>
          <w:ilvl w:val="0"/>
          <w:numId w:val="51"/>
        </w:numPr>
        <w:tabs>
          <w:tab w:val="left" w:pos="284"/>
        </w:tabs>
        <w:ind w:firstLine="709"/>
        <w:jc w:val="both"/>
        <w:rPr>
          <w:rFonts w:eastAsia="Calibri"/>
        </w:rPr>
      </w:pPr>
      <w:r w:rsidRPr="008845BF">
        <w:rPr>
          <w:rFonts w:eastAsia="Calibri"/>
        </w:rPr>
        <w:t>Политика внутреннего контроля;</w:t>
      </w:r>
    </w:p>
    <w:p w:rsidR="008845BF" w:rsidRPr="008845BF" w:rsidRDefault="008845BF" w:rsidP="008845BF">
      <w:pPr>
        <w:numPr>
          <w:ilvl w:val="0"/>
          <w:numId w:val="51"/>
        </w:numPr>
        <w:tabs>
          <w:tab w:val="left" w:pos="284"/>
        </w:tabs>
        <w:ind w:firstLine="709"/>
        <w:jc w:val="both"/>
        <w:rPr>
          <w:rFonts w:eastAsia="Calibri"/>
        </w:rPr>
      </w:pPr>
      <w:r w:rsidRPr="008845BF">
        <w:rPr>
          <w:rFonts w:eastAsia="Calibri"/>
        </w:rPr>
        <w:t>Политика внутреннего аудита.</w:t>
      </w:r>
    </w:p>
    <w:p w:rsidR="008845BF" w:rsidRPr="008845BF" w:rsidRDefault="008845BF" w:rsidP="008845BF">
      <w:pPr>
        <w:widowControl w:val="0"/>
        <w:autoSpaceDE w:val="0"/>
        <w:autoSpaceDN w:val="0"/>
        <w:adjustRightInd w:val="0"/>
        <w:rPr>
          <w:rFonts w:eastAsia="Calibri"/>
          <w:b/>
        </w:rPr>
      </w:pPr>
    </w:p>
    <w:p w:rsidR="008845BF" w:rsidRPr="008845BF" w:rsidRDefault="008845BF" w:rsidP="008845BF">
      <w:pPr>
        <w:jc w:val="center"/>
        <w:rPr>
          <w:rFonts w:eastAsia="Calibri"/>
          <w:b/>
        </w:rPr>
      </w:pPr>
      <w:r w:rsidRPr="008845BF">
        <w:rPr>
          <w:rFonts w:eastAsia="Calibri"/>
          <w:b/>
        </w:rPr>
        <w:t>Рисунок 1. Система внутреннего контроля и управления рисками</w:t>
      </w:r>
    </w:p>
    <w:p w:rsidR="008845BF" w:rsidRPr="008845BF" w:rsidRDefault="008845BF" w:rsidP="008845BF">
      <w:pPr>
        <w:jc w:val="center"/>
        <w:rPr>
          <w:sz w:val="28"/>
          <w:szCs w:val="28"/>
        </w:rPr>
      </w:pPr>
    </w:p>
    <w:p w:rsidR="008845BF" w:rsidRPr="008845BF" w:rsidRDefault="008845BF" w:rsidP="008845BF">
      <w:pPr>
        <w:widowControl w:val="0"/>
        <w:autoSpaceDE w:val="0"/>
        <w:autoSpaceDN w:val="0"/>
        <w:adjustRightInd w:val="0"/>
        <w:ind w:firstLine="426"/>
        <w:rPr>
          <w:rFonts w:eastAsia="Calibri"/>
          <w:b/>
          <w:sz w:val="28"/>
          <w:szCs w:val="28"/>
          <w:lang w:eastAsia="en-US"/>
        </w:rPr>
      </w:pPr>
      <w:r w:rsidRPr="008845BF">
        <w:rPr>
          <w:rFonts w:eastAsia="Calibri"/>
          <w:b/>
          <w:noProof/>
          <w:sz w:val="28"/>
          <w:szCs w:val="28"/>
        </w:rPr>
        <w:drawing>
          <wp:inline distT="0" distB="0" distL="0" distR="0" wp14:anchorId="403A8743" wp14:editId="2063E584">
            <wp:extent cx="1838960" cy="1083310"/>
            <wp:effectExtent l="0" t="0" r="8890" b="2540"/>
            <wp:docPr id="64"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38960" cy="1083310"/>
                    </a:xfrm>
                    <a:prstGeom prst="rect">
                      <a:avLst/>
                    </a:prstGeom>
                    <a:noFill/>
                    <a:ln>
                      <a:noFill/>
                    </a:ln>
                  </pic:spPr>
                </pic:pic>
              </a:graphicData>
            </a:graphic>
          </wp:inline>
        </w:drawing>
      </w:r>
      <w:r w:rsidRPr="008845BF">
        <w:rPr>
          <w:rFonts w:eastAsia="Calibri"/>
          <w:b/>
          <w:noProof/>
          <w:sz w:val="28"/>
          <w:szCs w:val="28"/>
        </w:rPr>
        <w:drawing>
          <wp:inline distT="0" distB="0" distL="0" distR="0" wp14:anchorId="3368BA11" wp14:editId="53B6F218">
            <wp:extent cx="1918335" cy="1073150"/>
            <wp:effectExtent l="0" t="0" r="0" b="0"/>
            <wp:docPr id="6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18335" cy="1073150"/>
                    </a:xfrm>
                    <a:prstGeom prst="rect">
                      <a:avLst/>
                    </a:prstGeom>
                    <a:noFill/>
                    <a:ln>
                      <a:noFill/>
                    </a:ln>
                  </pic:spPr>
                </pic:pic>
              </a:graphicData>
            </a:graphic>
          </wp:inline>
        </w:drawing>
      </w:r>
      <w:r w:rsidRPr="008845BF">
        <w:rPr>
          <w:rFonts w:eastAsia="Calibri"/>
          <w:b/>
          <w:noProof/>
          <w:sz w:val="28"/>
          <w:szCs w:val="28"/>
        </w:rPr>
        <w:drawing>
          <wp:inline distT="0" distB="0" distL="0" distR="0" wp14:anchorId="2C726D58" wp14:editId="3CD98EA7">
            <wp:extent cx="1848485" cy="1053465"/>
            <wp:effectExtent l="0" t="0" r="0" b="0"/>
            <wp:docPr id="6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48485" cy="1053465"/>
                    </a:xfrm>
                    <a:prstGeom prst="rect">
                      <a:avLst/>
                    </a:prstGeom>
                    <a:noFill/>
                    <a:ln>
                      <a:noFill/>
                    </a:ln>
                  </pic:spPr>
                </pic:pic>
              </a:graphicData>
            </a:graphic>
          </wp:inline>
        </w:drawing>
      </w:r>
    </w:p>
    <w:p w:rsidR="008845BF" w:rsidRPr="008845BF" w:rsidRDefault="008845BF" w:rsidP="008845BF">
      <w:pPr>
        <w:widowControl w:val="0"/>
        <w:autoSpaceDE w:val="0"/>
        <w:autoSpaceDN w:val="0"/>
        <w:adjustRightInd w:val="0"/>
        <w:ind w:firstLine="426"/>
        <w:rPr>
          <w:rFonts w:eastAsia="Calibri"/>
          <w:b/>
          <w:sz w:val="28"/>
          <w:szCs w:val="28"/>
          <w:lang w:eastAsia="en-US"/>
        </w:rPr>
      </w:pPr>
      <w:r w:rsidRPr="008845BF">
        <w:rPr>
          <w:noProof/>
        </w:rPr>
        <mc:AlternateContent>
          <mc:Choice Requires="wps">
            <w:drawing>
              <wp:anchor distT="0" distB="0" distL="114300" distR="114300" simplePos="0" relativeHeight="251713536" behindDoc="0" locked="0" layoutInCell="1" allowOverlap="1" wp14:anchorId="5F0F60A6" wp14:editId="6BFBB3EB">
                <wp:simplePos x="0" y="0"/>
                <wp:positionH relativeFrom="column">
                  <wp:posOffset>2180590</wp:posOffset>
                </wp:positionH>
                <wp:positionV relativeFrom="paragraph">
                  <wp:posOffset>41910</wp:posOffset>
                </wp:positionV>
                <wp:extent cx="1551305" cy="1358265"/>
                <wp:effectExtent l="0" t="0" r="0" b="0"/>
                <wp:wrapNone/>
                <wp:docPr id="41" name="Поле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305" cy="13582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47FEF" w:rsidRDefault="00247FEF" w:rsidP="008845BF">
                            <w:pPr>
                              <w:numPr>
                                <w:ilvl w:val="0"/>
                                <w:numId w:val="52"/>
                              </w:numPr>
                              <w:tabs>
                                <w:tab w:val="num" w:pos="284"/>
                              </w:tabs>
                              <w:ind w:left="0" w:firstLine="0"/>
                            </w:pPr>
                            <w:r>
                              <w:t>Встроенные в бизнес-процессы контрольные процедуры, направленные на достижение целей бизнес-процессов</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41" o:spid="_x0000_s1026" type="#_x0000_t202" style="position:absolute;left:0;text-align:left;margin-left:171.7pt;margin-top:3.3pt;width:122.15pt;height:106.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" stroked="f">
                <v:textbox style="mso-fit-shape-to-text:t">
                  <w:txbxContent>
                    <w:p w:rsidR="00247FEF" w:rsidRDefault="00247FEF" w:rsidP="008845BF">
                      <w:pPr>
                        <w:numPr>
                          <w:ilvl w:val="0"/>
                          <w:numId w:val="52"/>
                        </w:numPr>
                        <w:tabs>
                          <w:tab w:val="num" w:pos="284"/>
                        </w:tabs>
                        <w:ind w:left="0" w:firstLine="0"/>
                      </w:pPr>
                      <w:r>
                        <w:t>Встроенные в бизнес-процессы контрольные процедуры, направленные на достижение целей бизнес-процессов</w:t>
                      </w:r>
                    </w:p>
                  </w:txbxContent>
                </v:textbox>
              </v:shape>
            </w:pict>
          </mc:Fallback>
        </mc:AlternateContent>
      </w:r>
      <w:r w:rsidRPr="008845BF">
        <w:rPr>
          <w:noProof/>
        </w:rPr>
        <mc:AlternateContent>
          <mc:Choice Requires="wps">
            <w:drawing>
              <wp:anchor distT="0" distB="0" distL="114300" distR="114300" simplePos="0" relativeHeight="251715584" behindDoc="0" locked="0" layoutInCell="1" allowOverlap="1" wp14:anchorId="323222A0" wp14:editId="48672F50">
                <wp:simplePos x="0" y="0"/>
                <wp:positionH relativeFrom="column">
                  <wp:posOffset>270510</wp:posOffset>
                </wp:positionH>
                <wp:positionV relativeFrom="paragraph">
                  <wp:posOffset>40005</wp:posOffset>
                </wp:positionV>
                <wp:extent cx="1781175" cy="2801620"/>
                <wp:effectExtent l="0" t="0" r="9525" b="0"/>
                <wp:wrapNone/>
                <wp:docPr id="3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1620"/>
                        </a:xfrm>
                        <a:prstGeom prst="rect">
                          <a:avLst/>
                        </a:prstGeom>
                        <a:solidFill>
                          <a:srgbClr val="FFFFFF"/>
                        </a:solidFill>
                        <a:ln>
                          <a:noFill/>
                        </a:ln>
                        <a:extLst>
                          <a:ext uri="{91240B29-F687-4F45-9708-019B960494DF}">
                            <a14:hiddenLine xmlns:a14="http://schemas.microsoft.com/office/drawing/2010/main" w="9525">
                              <a:solidFill>
                                <a:schemeClr val="bg1">
                                  <a:lumMod val="100000"/>
                                  <a:lumOff val="0"/>
                                </a:schemeClr>
                              </a:solidFill>
                              <a:miter lim="800000"/>
                              <a:headEnd/>
                              <a:tailEnd/>
                            </a14:hiddenLine>
                          </a:ext>
                        </a:extLst>
                      </wps:spPr>
                      <wps:txbx>
                        <w:txbxContent>
                          <w:p w:rsidR="00247FEF" w:rsidRDefault="00247FEF" w:rsidP="008845BF">
                            <w:pPr>
                              <w:numPr>
                                <w:ilvl w:val="0"/>
                                <w:numId w:val="52"/>
                              </w:numPr>
                              <w:tabs>
                                <w:tab w:val="num" w:pos="284"/>
                              </w:tabs>
                              <w:ind w:left="0" w:firstLine="0"/>
                            </w:pPr>
                            <w:r>
                              <w:t>Построение и оптимизация  процессов (направлений деятельности с выстраиванием контрольных процедур, разработанных с учетом затрат на их реализацию и эффекта от их внедрения</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37" o:spid="_x0000_s1027" type="#_x0000_t202" style="position:absolute;left:0;text-align:left;margin-left:21.3pt;margin-top:3.15pt;width:140.25pt;height:220.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" stroked="f" strokecolor="white [3212]">
                <v:textbox>
                  <w:txbxContent>
                    <w:p w:rsidR="00247FEF" w:rsidRDefault="00247FEF" w:rsidP="008845BF">
                      <w:pPr>
                        <w:numPr>
                          <w:ilvl w:val="0"/>
                          <w:numId w:val="52"/>
                        </w:numPr>
                        <w:tabs>
                          <w:tab w:val="num" w:pos="284"/>
                        </w:tabs>
                        <w:ind w:left="0" w:firstLine="0"/>
                      </w:pPr>
                      <w:proofErr w:type="gramStart"/>
                      <w:r>
                        <w:t>Построение и оптимизация  процессов (направлений деятельности с выстраиванием контрольных процедур, разработанных с учетом затрат на их реализацию и эффекта от их внедрения</w:t>
                      </w:r>
                      <w:proofErr w:type="gramEnd"/>
                    </w:p>
                  </w:txbxContent>
                </v:textbox>
              </v:shape>
            </w:pict>
          </mc:Fallback>
        </mc:AlternateContent>
      </w:r>
      <w:r w:rsidRPr="008845BF">
        <w:rPr>
          <w:noProof/>
        </w:rPr>
        <mc:AlternateContent>
          <mc:Choice Requires="wps">
            <w:drawing>
              <wp:anchor distT="0" distB="0" distL="114300" distR="114300" simplePos="0" relativeHeight="251714560" behindDoc="0" locked="0" layoutInCell="1" allowOverlap="1" wp14:anchorId="398EEC13" wp14:editId="3B0370D7">
                <wp:simplePos x="0" y="0"/>
                <wp:positionH relativeFrom="column">
                  <wp:posOffset>3901440</wp:posOffset>
                </wp:positionH>
                <wp:positionV relativeFrom="paragraph">
                  <wp:posOffset>11430</wp:posOffset>
                </wp:positionV>
                <wp:extent cx="1634490" cy="1651635"/>
                <wp:effectExtent l="0" t="0" r="3810" b="5715"/>
                <wp:wrapNone/>
                <wp:docPr id="30" name="Поле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4490" cy="16516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47FEF" w:rsidRDefault="00247FEF" w:rsidP="008845BF">
                            <w:pPr>
                              <w:numPr>
                                <w:ilvl w:val="0"/>
                                <w:numId w:val="52"/>
                              </w:numPr>
                              <w:tabs>
                                <w:tab w:val="num" w:pos="284"/>
                              </w:tabs>
                              <w:ind w:left="0" w:firstLine="0"/>
                            </w:pPr>
                            <w:r>
                              <w:t>Внутренний аудит, ревизионный контроль достоверности отчетности, сохранности активов, комплаенс-контроль,  внешний аудит, самооценка</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Поле 30" o:spid="_x0000_s1028" type="#_x0000_t202" style="position:absolute;left:0;text-align:left;margin-left:307.2pt;margin-top:.9pt;width:128.7pt;height:130.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" stroked="f">
                <v:textbox>
                  <w:txbxContent>
                    <w:p w:rsidR="00247FEF" w:rsidRDefault="00247FEF" w:rsidP="008845BF">
                      <w:pPr>
                        <w:numPr>
                          <w:ilvl w:val="0"/>
                          <w:numId w:val="52"/>
                        </w:numPr>
                        <w:tabs>
                          <w:tab w:val="num" w:pos="284"/>
                        </w:tabs>
                        <w:ind w:left="0" w:firstLine="0"/>
                      </w:pPr>
                      <w:r>
                        <w:t xml:space="preserve">Внутренний аудит, ревизионный контроль достоверности отчетности, сохранности активов, </w:t>
                      </w:r>
                      <w:proofErr w:type="spellStart"/>
                      <w:r>
                        <w:t>комплаенс</w:t>
                      </w:r>
                      <w:proofErr w:type="spellEnd"/>
                      <w:r>
                        <w:t>-контроль,  внешний аудит, самооценка</w:t>
                      </w:r>
                    </w:p>
                  </w:txbxContent>
                </v:textbox>
              </v:shape>
            </w:pict>
          </mc:Fallback>
        </mc:AlternateContent>
      </w:r>
    </w:p>
    <w:p w:rsidR="008845BF" w:rsidRPr="008845BF" w:rsidRDefault="008845BF" w:rsidP="008845BF">
      <w:pPr>
        <w:widowControl w:val="0"/>
        <w:autoSpaceDE w:val="0"/>
        <w:autoSpaceDN w:val="0"/>
        <w:adjustRightInd w:val="0"/>
        <w:ind w:firstLine="426"/>
        <w:rPr>
          <w:rFonts w:eastAsia="Calibri"/>
          <w:b/>
          <w:sz w:val="28"/>
          <w:szCs w:val="28"/>
          <w:lang w:eastAsia="en-US"/>
        </w:rPr>
      </w:pPr>
    </w:p>
    <w:p w:rsidR="008845BF" w:rsidRPr="008845BF" w:rsidRDefault="008845BF" w:rsidP="008845BF">
      <w:pPr>
        <w:widowControl w:val="0"/>
        <w:autoSpaceDE w:val="0"/>
        <w:autoSpaceDN w:val="0"/>
        <w:adjustRightInd w:val="0"/>
        <w:ind w:firstLine="426"/>
        <w:rPr>
          <w:rFonts w:eastAsia="Calibri"/>
          <w:b/>
          <w:sz w:val="28"/>
          <w:szCs w:val="28"/>
          <w:lang w:eastAsia="en-US"/>
        </w:rPr>
      </w:pPr>
    </w:p>
    <w:p w:rsidR="008845BF" w:rsidRPr="008845BF" w:rsidRDefault="008845BF" w:rsidP="008845BF">
      <w:pPr>
        <w:widowControl w:val="0"/>
        <w:autoSpaceDE w:val="0"/>
        <w:autoSpaceDN w:val="0"/>
        <w:adjustRightInd w:val="0"/>
        <w:ind w:firstLine="426"/>
        <w:rPr>
          <w:rFonts w:eastAsia="Calibri"/>
          <w:b/>
          <w:sz w:val="28"/>
          <w:szCs w:val="28"/>
          <w:lang w:eastAsia="en-US"/>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ind w:left="-567" w:firstLine="567"/>
        <w:jc w:val="both"/>
        <w:rPr>
          <w:rFonts w:eastAsia="Calibri"/>
          <w:b/>
        </w:rPr>
      </w:pPr>
    </w:p>
    <w:p w:rsidR="008845BF" w:rsidRPr="008845BF" w:rsidRDefault="008845BF" w:rsidP="008845BF">
      <w:pPr>
        <w:tabs>
          <w:tab w:val="left" w:pos="1560"/>
        </w:tabs>
        <w:jc w:val="center"/>
        <w:rPr>
          <w:rFonts w:eastAsia="Calibri"/>
          <w:sz w:val="28"/>
          <w:szCs w:val="28"/>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widowControl w:val="0"/>
        <w:autoSpaceDE w:val="0"/>
        <w:autoSpaceDN w:val="0"/>
        <w:adjustRightInd w:val="0"/>
        <w:ind w:firstLine="426"/>
        <w:jc w:val="center"/>
        <w:rPr>
          <w:rFonts w:eastAsia="Calibri"/>
          <w:b/>
          <w:sz w:val="28"/>
          <w:szCs w:val="28"/>
          <w:lang w:eastAsia="en-US"/>
        </w:rPr>
      </w:pPr>
    </w:p>
    <w:p w:rsidR="008845BF" w:rsidRPr="008845BF" w:rsidRDefault="008845BF" w:rsidP="008845BF">
      <w:pPr>
        <w:tabs>
          <w:tab w:val="left" w:pos="1276"/>
        </w:tabs>
        <w:jc w:val="center"/>
        <w:rPr>
          <w:rFonts w:eastAsia="Calibri"/>
          <w:b/>
          <w:szCs w:val="28"/>
          <w:lang w:eastAsia="en-US"/>
        </w:rPr>
      </w:pPr>
      <w:r w:rsidRPr="008845BF">
        <w:rPr>
          <w:rFonts w:eastAsia="Calibri"/>
          <w:b/>
          <w:szCs w:val="28"/>
          <w:lang w:eastAsia="en-US"/>
        </w:rPr>
        <w:t>Рисунок 2. Участники системы внутреннего контроля и управления рисками</w:t>
      </w:r>
    </w:p>
    <w:p w:rsidR="008845BF" w:rsidRPr="008845BF" w:rsidRDefault="008845BF" w:rsidP="008845BF">
      <w:pPr>
        <w:tabs>
          <w:tab w:val="left" w:pos="2550"/>
        </w:tabs>
        <w:rPr>
          <w:rFonts w:eastAsia="Calibri"/>
          <w:i/>
          <w:sz w:val="26"/>
          <w:szCs w:val="26"/>
        </w:rPr>
      </w:pPr>
      <w:r w:rsidRPr="008845BF">
        <w:rPr>
          <w:noProof/>
        </w:rPr>
        <mc:AlternateContent>
          <mc:Choice Requires="wps">
            <w:drawing>
              <wp:anchor distT="0" distB="0" distL="114300" distR="114300" simplePos="0" relativeHeight="251698176" behindDoc="0" locked="0" layoutInCell="1" allowOverlap="1" wp14:anchorId="3BDD1566" wp14:editId="2B8AADA4">
                <wp:simplePos x="0" y="0"/>
                <wp:positionH relativeFrom="column">
                  <wp:posOffset>3539490</wp:posOffset>
                </wp:positionH>
                <wp:positionV relativeFrom="paragraph">
                  <wp:posOffset>177800</wp:posOffset>
                </wp:positionV>
                <wp:extent cx="1604645" cy="643890"/>
                <wp:effectExtent l="0" t="0" r="0" b="3810"/>
                <wp:wrapNone/>
                <wp:docPr id="12"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04645" cy="643890"/>
                        </a:xfrm>
                        <a:prstGeom prst="rect">
                          <a:avLst/>
                        </a:prstGeom>
                        <a:solidFill>
                          <a:srgbClr val="4F81BD"/>
                        </a:solidFill>
                        <a:ln w="25400" cap="flat" cmpd="sng" algn="ctr">
                          <a:noFill/>
                          <a:prstDash val="solid"/>
                        </a:ln>
                        <a:effectLst/>
                      </wps:spPr>
                      <wps:txbx>
                        <w:txbxContent>
                          <w:p w:rsidR="00247FEF" w:rsidRDefault="00247FEF" w:rsidP="008845BF">
                            <w:pPr>
                              <w:pStyle w:val="ac"/>
                              <w:spacing w:before="0" w:beforeAutospacing="0" w:after="0" w:afterAutospacing="0"/>
                              <w:jc w:val="center"/>
                              <w:rPr>
                                <w:sz w:val="20"/>
                                <w:szCs w:val="20"/>
                              </w:rPr>
                            </w:pPr>
                            <w:r>
                              <w:rPr>
                                <w:color w:val="FFFFFF" w:themeColor="light1"/>
                                <w:kern w:val="24"/>
                                <w:sz w:val="20"/>
                                <w:szCs w:val="20"/>
                              </w:rPr>
                              <w:t>Ревизионная</w:t>
                            </w:r>
                            <w:r>
                              <w:rPr>
                                <w:rFonts w:ascii="Calibri" w:hAnsi="Calibri"/>
                                <w:color w:val="FFFFFF" w:themeColor="light1"/>
                                <w:kern w:val="24"/>
                                <w:sz w:val="20"/>
                                <w:szCs w:val="20"/>
                              </w:rPr>
                              <w:t xml:space="preserve"> </w:t>
                            </w:r>
                            <w:r>
                              <w:rPr>
                                <w:color w:val="FFFFFF" w:themeColor="light1"/>
                                <w:kern w:val="24"/>
                                <w:sz w:val="20"/>
                                <w:szCs w:val="20"/>
                              </w:rPr>
                              <w:t>комиссия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1" o:spid="_x0000_s1029" style="position:absolute;margin-left:278.7pt;margin-top:14pt;width:126.35pt;height:50.7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" fillcolor="#4f81bd" stroked="f" strokeweight="2pt">
                <v:path arrowok="t"/>
                <v:textbox>
                  <w:txbxContent>
                    <w:p w:rsidR="00247FEF" w:rsidRDefault="00247FEF" w:rsidP="008845BF">
                      <w:pPr>
                        <w:pStyle w:val="ac"/>
                        <w:spacing w:before="0" w:beforeAutospacing="0" w:after="0" w:afterAutospacing="0"/>
                        <w:jc w:val="center"/>
                        <w:rPr>
                          <w:sz w:val="20"/>
                          <w:szCs w:val="20"/>
                        </w:rPr>
                      </w:pPr>
                      <w:r>
                        <w:rPr>
                          <w:color w:val="FFFFFF" w:themeColor="light1"/>
                          <w:kern w:val="24"/>
                          <w:sz w:val="20"/>
                          <w:szCs w:val="20"/>
                        </w:rPr>
                        <w:t>Ревизионная</w:t>
                      </w:r>
                      <w:r>
                        <w:rPr>
                          <w:rFonts w:ascii="Calibri" w:hAnsi="Calibri"/>
                          <w:color w:val="FFFFFF" w:themeColor="light1"/>
                          <w:kern w:val="24"/>
                          <w:sz w:val="20"/>
                          <w:szCs w:val="20"/>
                        </w:rPr>
                        <w:t xml:space="preserve"> </w:t>
                      </w:r>
                      <w:r>
                        <w:rPr>
                          <w:color w:val="FFFFFF" w:themeColor="light1"/>
                          <w:kern w:val="24"/>
                          <w:sz w:val="20"/>
                          <w:szCs w:val="20"/>
                        </w:rPr>
                        <w:t>комиссия</w:t>
                      </w:r>
                    </w:p>
                  </w:txbxContent>
                </v:textbox>
              </v:rect>
            </w:pict>
          </mc:Fallback>
        </mc:AlternateContent>
      </w:r>
      <w:r w:rsidRPr="008845BF">
        <w:rPr>
          <w:noProof/>
        </w:rPr>
        <w:t xml:space="preserve"> </w:t>
      </w:r>
      <w:r w:rsidRPr="008845BF">
        <w:rPr>
          <w:rFonts w:eastAsia="Calibri"/>
          <w:i/>
          <w:noProof/>
          <w:sz w:val="26"/>
          <w:szCs w:val="26"/>
        </w:rPr>
        <w:drawing>
          <wp:inline distT="0" distB="0" distL="0" distR="0" wp14:anchorId="02344047" wp14:editId="29929326">
            <wp:extent cx="5933440" cy="3498850"/>
            <wp:effectExtent l="0" t="0" r="0" b="25400"/>
            <wp:docPr id="69" name="Схема 3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8845BF" w:rsidRPr="008845BF" w:rsidRDefault="008845BF" w:rsidP="008845BF">
      <w:pPr>
        <w:tabs>
          <w:tab w:val="left" w:pos="1276"/>
        </w:tabs>
        <w:jc w:val="center"/>
        <w:rPr>
          <w:rFonts w:eastAsia="Calibri"/>
          <w:b/>
          <w:sz w:val="28"/>
          <w:szCs w:val="28"/>
          <w:lang w:eastAsia="en-US"/>
        </w:rPr>
      </w:pPr>
    </w:p>
    <w:p w:rsidR="008845BF" w:rsidRPr="008845BF" w:rsidRDefault="008845BF" w:rsidP="008845BF">
      <w:pPr>
        <w:tabs>
          <w:tab w:val="left" w:pos="1276"/>
        </w:tabs>
        <w:jc w:val="center"/>
        <w:rPr>
          <w:rFonts w:eastAsia="Calibri"/>
          <w:b/>
          <w:szCs w:val="28"/>
        </w:rPr>
      </w:pPr>
      <w:r w:rsidRPr="008845BF">
        <w:rPr>
          <w:rFonts w:eastAsia="Calibri"/>
          <w:b/>
          <w:szCs w:val="28"/>
        </w:rPr>
        <w:t>Полномочия и ответственность основных участников СВК и УР</w:t>
      </w:r>
    </w:p>
    <w:p w:rsidR="008845BF" w:rsidRPr="008845BF" w:rsidRDefault="008845BF" w:rsidP="008845BF">
      <w:pPr>
        <w:tabs>
          <w:tab w:val="left" w:pos="1276"/>
        </w:tabs>
        <w:ind w:firstLine="709"/>
        <w:jc w:val="right"/>
        <w:rPr>
          <w:rFonts w:eastAsia="Calibri"/>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6"/>
        <w:gridCol w:w="6775"/>
      </w:tblGrid>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jc w:val="center"/>
              <w:rPr>
                <w:rFonts w:eastAsia="Calibri"/>
                <w:b/>
                <w:lang w:eastAsia="en-US"/>
              </w:rPr>
            </w:pPr>
            <w:r w:rsidRPr="008845BF">
              <w:rPr>
                <w:rFonts w:eastAsia="Calibri"/>
                <w:b/>
                <w:lang w:eastAsia="en-US"/>
              </w:rPr>
              <w:t>Наименование участника</w:t>
            </w:r>
          </w:p>
        </w:tc>
        <w:tc>
          <w:tcPr>
            <w:tcW w:w="6804"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jc w:val="center"/>
              <w:rPr>
                <w:rFonts w:eastAsia="Calibri"/>
                <w:b/>
                <w:lang w:eastAsia="en-US"/>
              </w:rPr>
            </w:pPr>
            <w:r w:rsidRPr="008845BF">
              <w:rPr>
                <w:rFonts w:eastAsia="Calibri"/>
                <w:b/>
                <w:lang w:eastAsia="en-US"/>
              </w:rPr>
              <w:t xml:space="preserve">Основные полномочия и ответственность </w:t>
            </w:r>
            <w:r w:rsidRPr="008845BF">
              <w:rPr>
                <w:rFonts w:eastAsia="Calibri"/>
                <w:b/>
                <w:lang w:eastAsia="en-US"/>
              </w:rPr>
              <w:br/>
              <w:t>в области СВК и УР</w:t>
            </w:r>
          </w:p>
        </w:tc>
      </w:tr>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t xml:space="preserve">Совет директоров </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обеспечение создания, контроль функционирования и определение общей стратегии развития системы внутреннего контроля и управления рисками в Обществе</w:t>
            </w:r>
          </w:p>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рассмотрение отчетов и принятие решений по системным, ключевым и проблемным вопросам внутреннего контроля</w:t>
            </w:r>
          </w:p>
        </w:tc>
      </w:tr>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t xml:space="preserve">Ревизионная комиссия </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осуществление контроля за финансово-хозяйственной деятельностью Общества</w:t>
            </w:r>
          </w:p>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осуществление независимой оценки достоверности данных, содержащихся в годовом отчете и годовой бухгалтерской отчетности Общества</w:t>
            </w:r>
          </w:p>
        </w:tc>
      </w:tr>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t>Генеральный директор</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обеспечивает создание и повседневное функционирование в Обществе эффективной и надежной системы внутреннего контроля</w:t>
            </w:r>
          </w:p>
        </w:tc>
      </w:tr>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t xml:space="preserve">Руководители блоков и структурных подразделений </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организуют эффективную контрольную среду курируемых процессов (направлений деятельности), несут ответственность за эффективность достижения операционных целей курируемых процессов (направлений деятельности) и управление рисками курируемых процессов (направлений деятельности) и исполнение контрольных процедур</w:t>
            </w:r>
          </w:p>
        </w:tc>
      </w:tr>
      <w:tr w:rsidR="008845BF" w:rsidRPr="008845BF" w:rsidTr="008845BF">
        <w:trPr>
          <w:trHeight w:val="3691"/>
        </w:trPr>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lastRenderedPageBreak/>
              <w:t>Работники структурных подразделений Общества, выполняющие контрольные процедуры в силу своих должностных обязанностей</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исполняют контрольные процедуры в рамках функционирования системы внутреннего контроля, в соответствии с должностными инструкциями и установленными регламентирующими документами</w:t>
            </w:r>
          </w:p>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обеспечивают своевременное информирование непосредственных руководителей о случаях, когда исполнение контрольных процедур и мероприятий по управлению рисками по каким-либо причинам стало невозможным и/или требуется изменение дизайна контрольных процедур/мероприятий по управлению рисками в связи с изменением внутренних и /или внешних условий функционирования Общества, в том числе обеспечивают разработку и предоставление на рассмотрение руководству предложений по внедрению контрольных процедур и мероприятий по управлению рисками в соответствующих областях деятельности</w:t>
            </w:r>
          </w:p>
        </w:tc>
      </w:tr>
      <w:tr w:rsidR="008845BF" w:rsidRPr="008845BF" w:rsidTr="008845BF">
        <w:tc>
          <w:tcPr>
            <w:tcW w:w="2802"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tabs>
                <w:tab w:val="left" w:pos="1276"/>
              </w:tabs>
              <w:rPr>
                <w:rFonts w:eastAsia="Calibri"/>
                <w:b/>
                <w:lang w:eastAsia="en-US"/>
              </w:rPr>
            </w:pPr>
            <w:r w:rsidRPr="008845BF">
              <w:rPr>
                <w:rFonts w:eastAsia="Calibri"/>
                <w:b/>
                <w:lang w:eastAsia="en-US"/>
              </w:rPr>
              <w:t>Отдел внутреннего аудита финансово-экономического Департамента</w:t>
            </w:r>
          </w:p>
        </w:tc>
        <w:tc>
          <w:tcPr>
            <w:tcW w:w="680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numPr>
                <w:ilvl w:val="0"/>
                <w:numId w:val="53"/>
              </w:numPr>
              <w:tabs>
                <w:tab w:val="left" w:pos="175"/>
              </w:tabs>
              <w:ind w:left="0" w:firstLine="0"/>
              <w:contextualSpacing/>
              <w:jc w:val="both"/>
              <w:rPr>
                <w:rFonts w:eastAsia="Calibri"/>
                <w:lang w:eastAsia="en-US"/>
              </w:rPr>
            </w:pPr>
            <w:r w:rsidRPr="008845BF">
              <w:rPr>
                <w:rFonts w:eastAsia="Calibri"/>
                <w:lang w:eastAsia="en-US"/>
              </w:rPr>
              <w:t>обеспечивает регламентацию контрольной среды в Обществе, осуществляет независимый последующий контроль и оценку эффективности контрольной среды в Обществе, обеспечивает информирование Совета директоров, исполнительных органов Общества, непосредственного руководства о существенных тенденциях и недостатках в деятельности Общества</w:t>
            </w:r>
          </w:p>
        </w:tc>
      </w:tr>
    </w:tbl>
    <w:p w:rsidR="008845BF" w:rsidRPr="008845BF" w:rsidRDefault="008845BF" w:rsidP="00247FEF">
      <w:pPr>
        <w:tabs>
          <w:tab w:val="left" w:pos="1276"/>
        </w:tabs>
        <w:rPr>
          <w:rFonts w:eastAsia="Calibri"/>
          <w:b/>
          <w:szCs w:val="28"/>
          <w:highlight w:val="yellow"/>
          <w:lang w:eastAsia="en-US"/>
        </w:rPr>
      </w:pPr>
    </w:p>
    <w:p w:rsidR="008845BF" w:rsidRPr="008845BF" w:rsidRDefault="008845BF" w:rsidP="008845BF">
      <w:pPr>
        <w:tabs>
          <w:tab w:val="left" w:pos="1276"/>
        </w:tabs>
        <w:jc w:val="center"/>
        <w:rPr>
          <w:rFonts w:eastAsia="Calibri"/>
          <w:b/>
          <w:szCs w:val="28"/>
          <w:highlight w:val="yellow"/>
          <w:lang w:eastAsia="en-US"/>
        </w:rPr>
      </w:pPr>
      <w:r w:rsidRPr="008845BF">
        <w:rPr>
          <w:rFonts w:eastAsia="Calibri"/>
          <w:b/>
          <w:szCs w:val="28"/>
          <w:lang w:eastAsia="en-US"/>
        </w:rPr>
        <w:t>Деятельность Общества сопряжена с рисками, которые инвесторам следует принимать во внимание. Ниже описаны ключевые факторы рисков, которые в настоящий момент Общество считает наиболее значимыми.</w:t>
      </w:r>
    </w:p>
    <w:p w:rsidR="008845BF" w:rsidRPr="008845BF" w:rsidRDefault="008845BF" w:rsidP="008845BF">
      <w:pPr>
        <w:tabs>
          <w:tab w:val="left" w:pos="1276"/>
        </w:tabs>
        <w:jc w:val="center"/>
        <w:rPr>
          <w:rFonts w:eastAsia="Calibri"/>
          <w:b/>
          <w:szCs w:val="28"/>
          <w:highlight w:val="yellow"/>
          <w:lang w:eastAsia="en-US"/>
        </w:rPr>
      </w:pPr>
    </w:p>
    <w:p w:rsidR="008845BF" w:rsidRPr="008845BF" w:rsidRDefault="008845BF" w:rsidP="008845BF">
      <w:pPr>
        <w:tabs>
          <w:tab w:val="left" w:pos="1276"/>
        </w:tabs>
        <w:jc w:val="center"/>
        <w:rPr>
          <w:rFonts w:eastAsia="Calibri"/>
          <w:b/>
          <w:szCs w:val="28"/>
          <w:lang w:eastAsia="en-US"/>
        </w:rPr>
      </w:pPr>
      <w:r w:rsidRPr="008845BF">
        <w:rPr>
          <w:rFonts w:eastAsia="Calibri"/>
          <w:b/>
          <w:szCs w:val="28"/>
          <w:lang w:eastAsia="en-US"/>
        </w:rPr>
        <w:t>Рисунок 3. Уровень значимости риска</w:t>
      </w:r>
    </w:p>
    <w:p w:rsidR="008845BF" w:rsidRPr="008845BF" w:rsidRDefault="008845BF" w:rsidP="008845BF">
      <w:pPr>
        <w:jc w:val="both"/>
        <w:rPr>
          <w:i/>
          <w:szCs w:val="26"/>
        </w:rPr>
      </w:pPr>
    </w:p>
    <w:tbl>
      <w:tblPr>
        <w:tblpPr w:leftFromText="180" w:rightFromText="180" w:bottomFromText="200" w:vertAnchor="text" w:horzAnchor="page" w:tblpX="4376" w:tblpY="4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9"/>
        <w:gridCol w:w="958"/>
      </w:tblGrid>
      <w:tr w:rsidR="008845BF" w:rsidRPr="008845BF" w:rsidTr="008845BF">
        <w:trPr>
          <w:trHeight w:val="448"/>
        </w:trPr>
        <w:tc>
          <w:tcPr>
            <w:tcW w:w="3557"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rsidR="008845BF" w:rsidRPr="008845BF" w:rsidRDefault="008845BF" w:rsidP="008845BF">
            <w:pPr>
              <w:spacing w:line="276" w:lineRule="auto"/>
              <w:jc w:val="center"/>
              <w:rPr>
                <w:i/>
                <w:szCs w:val="28"/>
                <w:lang w:eastAsia="en-US"/>
              </w:rPr>
            </w:pPr>
            <w:r w:rsidRPr="008845BF">
              <w:rPr>
                <w:b/>
                <w:i/>
                <w:szCs w:val="28"/>
                <w:lang w:eastAsia="en-US"/>
              </w:rPr>
              <w:t>Уровень значимости</w:t>
            </w:r>
          </w:p>
        </w:tc>
      </w:tr>
      <w:tr w:rsidR="008845BF" w:rsidRPr="008845BF" w:rsidTr="008845BF">
        <w:trPr>
          <w:trHeight w:val="566"/>
        </w:trPr>
        <w:tc>
          <w:tcPr>
            <w:tcW w:w="25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845BF" w:rsidRPr="008845BF" w:rsidRDefault="008845BF" w:rsidP="008845BF">
            <w:pPr>
              <w:spacing w:line="276" w:lineRule="auto"/>
              <w:rPr>
                <w:i/>
                <w:szCs w:val="28"/>
                <w:lang w:eastAsia="en-US"/>
              </w:rPr>
            </w:pPr>
            <w:r w:rsidRPr="008845BF">
              <w:rPr>
                <w:i/>
                <w:szCs w:val="28"/>
                <w:lang w:eastAsia="en-US"/>
              </w:rPr>
              <w:t>Критический</w:t>
            </w:r>
          </w:p>
        </w:tc>
        <w:tc>
          <w:tcPr>
            <w:tcW w:w="958" w:type="dxa"/>
            <w:tcBorders>
              <w:top w:val="single" w:sz="4" w:space="0" w:color="auto"/>
              <w:left w:val="single" w:sz="4" w:space="0" w:color="auto"/>
              <w:bottom w:val="single" w:sz="4" w:space="0" w:color="auto"/>
              <w:right w:val="single" w:sz="4" w:space="0" w:color="auto"/>
            </w:tcBorders>
            <w:shd w:val="clear" w:color="auto" w:fill="FFFFFF"/>
            <w:hideMark/>
          </w:tcPr>
          <w:p w:rsidR="008845BF" w:rsidRPr="008845BF" w:rsidRDefault="008845BF" w:rsidP="008845BF">
            <w:pPr>
              <w:spacing w:line="276" w:lineRule="auto"/>
              <w:jc w:val="center"/>
              <w:rPr>
                <w:i/>
                <w:sz w:val="28"/>
                <w:szCs w:val="28"/>
                <w:lang w:eastAsia="en-US"/>
              </w:rPr>
            </w:pPr>
            <w:r w:rsidRPr="008845BF">
              <w:rPr>
                <w:noProof/>
              </w:rPr>
              <mc:AlternateContent>
                <mc:Choice Requires="wps">
                  <w:drawing>
                    <wp:anchor distT="0" distB="0" distL="114300" distR="114300" simplePos="0" relativeHeight="251695104" behindDoc="0" locked="0" layoutInCell="1" allowOverlap="1" wp14:anchorId="618107AC" wp14:editId="2E10379D">
                      <wp:simplePos x="0" y="0"/>
                      <wp:positionH relativeFrom="column">
                        <wp:posOffset>85725</wp:posOffset>
                      </wp:positionH>
                      <wp:positionV relativeFrom="paragraph">
                        <wp:posOffset>40640</wp:posOffset>
                      </wp:positionV>
                      <wp:extent cx="270510" cy="278130"/>
                      <wp:effectExtent l="0" t="0" r="0" b="7620"/>
                      <wp:wrapNone/>
                      <wp:docPr id="27" name="Овал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27" o:spid="_x0000_s1026" style="position:absolute;margin-left:6.75pt;margin-top:3.2pt;width:21.3pt;height:21.9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" fillcolor="red" stroked="f" strokeweight="2pt">
                      <v:path arrowok="t"/>
                    </v:oval>
                  </w:pict>
                </mc:Fallback>
              </mc:AlternateContent>
            </w:r>
          </w:p>
        </w:tc>
      </w:tr>
      <w:tr w:rsidR="008845BF" w:rsidRPr="008845BF" w:rsidTr="008845BF">
        <w:trPr>
          <w:trHeight w:val="589"/>
        </w:trPr>
        <w:tc>
          <w:tcPr>
            <w:tcW w:w="25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845BF" w:rsidRPr="008845BF" w:rsidRDefault="008845BF" w:rsidP="008845BF">
            <w:pPr>
              <w:spacing w:line="276" w:lineRule="auto"/>
              <w:rPr>
                <w:i/>
                <w:szCs w:val="28"/>
                <w:lang w:eastAsia="en-US"/>
              </w:rPr>
            </w:pPr>
            <w:r w:rsidRPr="008845BF">
              <w:rPr>
                <w:i/>
                <w:szCs w:val="28"/>
                <w:lang w:eastAsia="en-US"/>
              </w:rPr>
              <w:t>Значимый</w:t>
            </w:r>
          </w:p>
        </w:tc>
        <w:tc>
          <w:tcPr>
            <w:tcW w:w="958" w:type="dxa"/>
            <w:tcBorders>
              <w:top w:val="single" w:sz="4" w:space="0" w:color="auto"/>
              <w:left w:val="single" w:sz="4" w:space="0" w:color="auto"/>
              <w:bottom w:val="single" w:sz="4" w:space="0" w:color="auto"/>
              <w:right w:val="single" w:sz="4" w:space="0" w:color="auto"/>
            </w:tcBorders>
            <w:shd w:val="clear" w:color="auto" w:fill="FFFFFF"/>
            <w:hideMark/>
          </w:tcPr>
          <w:p w:rsidR="008845BF" w:rsidRPr="008845BF" w:rsidRDefault="008845BF" w:rsidP="008845BF">
            <w:pPr>
              <w:spacing w:line="276" w:lineRule="auto"/>
              <w:jc w:val="center"/>
              <w:rPr>
                <w:i/>
                <w:szCs w:val="28"/>
                <w:lang w:eastAsia="en-US"/>
              </w:rPr>
            </w:pPr>
            <w:r w:rsidRPr="008845BF">
              <w:rPr>
                <w:noProof/>
              </w:rPr>
              <mc:AlternateContent>
                <mc:Choice Requires="wps">
                  <w:drawing>
                    <wp:anchor distT="0" distB="0" distL="114300" distR="114300" simplePos="0" relativeHeight="251696128" behindDoc="0" locked="0" layoutInCell="1" allowOverlap="1" wp14:anchorId="57E00AF9" wp14:editId="4911E180">
                      <wp:simplePos x="0" y="0"/>
                      <wp:positionH relativeFrom="column">
                        <wp:posOffset>86995</wp:posOffset>
                      </wp:positionH>
                      <wp:positionV relativeFrom="paragraph">
                        <wp:posOffset>18415</wp:posOffset>
                      </wp:positionV>
                      <wp:extent cx="270510" cy="278130"/>
                      <wp:effectExtent l="0" t="0" r="0" b="7620"/>
                      <wp:wrapNone/>
                      <wp:docPr id="28" name="Овал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FF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28" o:spid="_x0000_s1026" style="position:absolute;margin-left:6.85pt;margin-top:1.45pt;width:21.3pt;height:21.9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" fillcolor="yellow" stroked="f" strokeweight="2pt">
                      <v:path arrowok="t"/>
                    </v:oval>
                  </w:pict>
                </mc:Fallback>
              </mc:AlternateContent>
            </w:r>
          </w:p>
        </w:tc>
      </w:tr>
      <w:tr w:rsidR="008845BF" w:rsidRPr="008845BF" w:rsidTr="008845BF">
        <w:trPr>
          <w:trHeight w:val="554"/>
        </w:trPr>
        <w:tc>
          <w:tcPr>
            <w:tcW w:w="25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8845BF" w:rsidRPr="008845BF" w:rsidRDefault="008845BF" w:rsidP="008845BF">
            <w:pPr>
              <w:spacing w:line="276" w:lineRule="auto"/>
              <w:rPr>
                <w:i/>
                <w:szCs w:val="28"/>
                <w:lang w:eastAsia="en-US"/>
              </w:rPr>
            </w:pPr>
            <w:r w:rsidRPr="008845BF">
              <w:rPr>
                <w:i/>
                <w:szCs w:val="28"/>
                <w:lang w:eastAsia="en-US"/>
              </w:rPr>
              <w:t>Умеренный</w:t>
            </w:r>
          </w:p>
        </w:tc>
        <w:tc>
          <w:tcPr>
            <w:tcW w:w="958" w:type="dxa"/>
            <w:tcBorders>
              <w:top w:val="single" w:sz="4" w:space="0" w:color="auto"/>
              <w:left w:val="single" w:sz="4" w:space="0" w:color="auto"/>
              <w:bottom w:val="single" w:sz="4" w:space="0" w:color="auto"/>
              <w:right w:val="single" w:sz="4" w:space="0" w:color="auto"/>
            </w:tcBorders>
            <w:shd w:val="clear" w:color="auto" w:fill="FFFFFF"/>
            <w:hideMark/>
          </w:tcPr>
          <w:p w:rsidR="008845BF" w:rsidRPr="008845BF" w:rsidRDefault="008845BF" w:rsidP="008845BF">
            <w:pPr>
              <w:spacing w:line="276" w:lineRule="auto"/>
              <w:jc w:val="center"/>
              <w:rPr>
                <w:i/>
                <w:szCs w:val="28"/>
                <w:lang w:eastAsia="en-US"/>
              </w:rPr>
            </w:pPr>
            <w:r w:rsidRPr="008845BF">
              <w:rPr>
                <w:noProof/>
              </w:rPr>
              <mc:AlternateContent>
                <mc:Choice Requires="wps">
                  <w:drawing>
                    <wp:anchor distT="0" distB="0" distL="114300" distR="114300" simplePos="0" relativeHeight="251697152" behindDoc="0" locked="0" layoutInCell="1" allowOverlap="1" wp14:anchorId="145CC22C" wp14:editId="4591DDE3">
                      <wp:simplePos x="0" y="0"/>
                      <wp:positionH relativeFrom="column">
                        <wp:posOffset>86995</wp:posOffset>
                      </wp:positionH>
                      <wp:positionV relativeFrom="paragraph">
                        <wp:posOffset>19050</wp:posOffset>
                      </wp:positionV>
                      <wp:extent cx="270510" cy="278130"/>
                      <wp:effectExtent l="0" t="0" r="0" b="7620"/>
                      <wp:wrapNone/>
                      <wp:docPr id="29" name="Овал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29" o:spid="_x0000_s1026" style="position:absolute;margin-left:6.85pt;margin-top:1.5pt;width:21.3pt;height:21.9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" fillcolor="#00b050" stroked="f" strokeweight="2pt">
                      <v:path arrowok="t"/>
                    </v:oval>
                  </w:pict>
                </mc:Fallback>
              </mc:AlternateContent>
            </w:r>
          </w:p>
        </w:tc>
      </w:tr>
    </w:tbl>
    <w:p w:rsidR="008845BF" w:rsidRPr="008845BF" w:rsidRDefault="008845BF" w:rsidP="008845BF">
      <w:pPr>
        <w:ind w:firstLine="709"/>
        <w:jc w:val="both"/>
        <w:rPr>
          <w:i/>
          <w:sz w:val="26"/>
          <w:szCs w:val="26"/>
        </w:rPr>
      </w:pPr>
    </w:p>
    <w:p w:rsidR="008845BF" w:rsidRPr="008845BF" w:rsidRDefault="008845BF" w:rsidP="008845BF">
      <w:pPr>
        <w:ind w:firstLine="709"/>
        <w:jc w:val="center"/>
        <w:rPr>
          <w:b/>
          <w:sz w:val="28"/>
          <w:szCs w:val="28"/>
        </w:rPr>
      </w:pPr>
    </w:p>
    <w:p w:rsidR="008845BF" w:rsidRPr="008845BF" w:rsidRDefault="008845BF" w:rsidP="008845BF">
      <w:pPr>
        <w:ind w:firstLine="709"/>
        <w:jc w:val="center"/>
        <w:rPr>
          <w:b/>
          <w:sz w:val="28"/>
          <w:szCs w:val="28"/>
        </w:rPr>
      </w:pPr>
    </w:p>
    <w:p w:rsidR="008845BF" w:rsidRPr="008845BF" w:rsidRDefault="008845BF" w:rsidP="008845BF">
      <w:pPr>
        <w:ind w:firstLine="709"/>
        <w:jc w:val="center"/>
        <w:rPr>
          <w:b/>
          <w:sz w:val="28"/>
          <w:szCs w:val="28"/>
        </w:rPr>
      </w:pPr>
    </w:p>
    <w:p w:rsidR="008845BF" w:rsidRPr="008845BF" w:rsidRDefault="008845BF" w:rsidP="008845BF">
      <w:pPr>
        <w:ind w:firstLine="709"/>
        <w:jc w:val="center"/>
        <w:rPr>
          <w:b/>
          <w:sz w:val="28"/>
          <w:szCs w:val="28"/>
        </w:rPr>
      </w:pPr>
    </w:p>
    <w:p w:rsidR="008845BF" w:rsidRPr="008845BF" w:rsidRDefault="008845BF" w:rsidP="008845BF">
      <w:pPr>
        <w:jc w:val="center"/>
        <w:rPr>
          <w:b/>
          <w:szCs w:val="28"/>
        </w:rPr>
      </w:pPr>
    </w:p>
    <w:p w:rsidR="008845BF" w:rsidRPr="008845BF" w:rsidRDefault="008845BF" w:rsidP="008845BF">
      <w:pPr>
        <w:jc w:val="center"/>
        <w:rPr>
          <w:b/>
          <w:szCs w:val="28"/>
        </w:rPr>
      </w:pPr>
    </w:p>
    <w:p w:rsidR="008845BF" w:rsidRPr="008845BF" w:rsidRDefault="008845BF" w:rsidP="008845BF">
      <w:pPr>
        <w:jc w:val="center"/>
        <w:rPr>
          <w:b/>
          <w:szCs w:val="28"/>
        </w:rPr>
      </w:pPr>
    </w:p>
    <w:p w:rsidR="00247FEF" w:rsidRDefault="00247FEF" w:rsidP="008845BF">
      <w:pPr>
        <w:jc w:val="center"/>
        <w:rPr>
          <w:b/>
          <w:szCs w:val="28"/>
        </w:rPr>
      </w:pPr>
    </w:p>
    <w:p w:rsidR="008845BF" w:rsidRPr="008845BF" w:rsidRDefault="008845BF" w:rsidP="008845BF">
      <w:pPr>
        <w:jc w:val="center"/>
        <w:rPr>
          <w:b/>
          <w:szCs w:val="28"/>
        </w:rPr>
      </w:pPr>
      <w:r w:rsidRPr="008845BF">
        <w:rPr>
          <w:b/>
          <w:szCs w:val="28"/>
        </w:rPr>
        <w:t xml:space="preserve">Оценка значимости рисков </w:t>
      </w:r>
    </w:p>
    <w:p w:rsidR="008845BF" w:rsidRPr="008845BF" w:rsidRDefault="008845BF" w:rsidP="008845BF">
      <w:pPr>
        <w:tabs>
          <w:tab w:val="left" w:pos="1276"/>
        </w:tabs>
        <w:ind w:firstLine="709"/>
        <w:jc w:val="right"/>
        <w:rPr>
          <w:rFonts w:eastAsia="Calibri"/>
          <w:szCs w:val="28"/>
        </w:rPr>
      </w:pP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1"/>
        <w:gridCol w:w="1956"/>
        <w:gridCol w:w="3116"/>
        <w:gridCol w:w="2692"/>
        <w:gridCol w:w="1275"/>
      </w:tblGrid>
      <w:tr w:rsidR="008845BF" w:rsidRPr="008845BF" w:rsidTr="008845BF">
        <w:trPr>
          <w:tblHeader/>
        </w:trPr>
        <w:tc>
          <w:tcPr>
            <w:tcW w:w="561"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jc w:val="center"/>
              <w:rPr>
                <w:b/>
                <w:lang w:eastAsia="en-US"/>
              </w:rPr>
            </w:pPr>
            <w:r w:rsidRPr="008845BF">
              <w:rPr>
                <w:b/>
                <w:sz w:val="22"/>
                <w:lang w:eastAsia="en-US"/>
              </w:rPr>
              <w:t>№ п/п</w:t>
            </w:r>
          </w:p>
        </w:tc>
        <w:tc>
          <w:tcPr>
            <w:tcW w:w="1957"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jc w:val="center"/>
              <w:rPr>
                <w:b/>
                <w:lang w:eastAsia="en-US"/>
              </w:rPr>
            </w:pPr>
            <w:r w:rsidRPr="008845BF">
              <w:rPr>
                <w:b/>
                <w:sz w:val="22"/>
                <w:lang w:eastAsia="en-US"/>
              </w:rPr>
              <w:t>Наименование риска</w:t>
            </w:r>
          </w:p>
        </w:tc>
        <w:tc>
          <w:tcPr>
            <w:tcW w:w="3118"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jc w:val="center"/>
              <w:rPr>
                <w:b/>
                <w:lang w:eastAsia="en-US"/>
              </w:rPr>
            </w:pPr>
            <w:r w:rsidRPr="008845BF">
              <w:rPr>
                <w:b/>
                <w:sz w:val="22"/>
                <w:lang w:eastAsia="en-US"/>
              </w:rPr>
              <w:t>Описание риска</w:t>
            </w:r>
          </w:p>
        </w:tc>
        <w:tc>
          <w:tcPr>
            <w:tcW w:w="2694"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jc w:val="center"/>
              <w:rPr>
                <w:b/>
                <w:lang w:eastAsia="en-US"/>
              </w:rPr>
            </w:pPr>
            <w:r w:rsidRPr="008845BF">
              <w:rPr>
                <w:b/>
                <w:sz w:val="22"/>
                <w:lang w:eastAsia="en-US"/>
              </w:rPr>
              <w:t>Мероприятия по минимизации последствий риска</w:t>
            </w:r>
          </w:p>
        </w:tc>
        <w:tc>
          <w:tcPr>
            <w:tcW w:w="1276" w:type="dxa"/>
            <w:tcBorders>
              <w:top w:val="single" w:sz="4" w:space="0" w:color="auto"/>
              <w:left w:val="single" w:sz="4" w:space="0" w:color="auto"/>
              <w:bottom w:val="single" w:sz="4" w:space="0" w:color="auto"/>
              <w:right w:val="single" w:sz="4" w:space="0" w:color="auto"/>
            </w:tcBorders>
            <w:vAlign w:val="center"/>
            <w:hideMark/>
          </w:tcPr>
          <w:p w:rsidR="008845BF" w:rsidRPr="008845BF" w:rsidRDefault="008845BF" w:rsidP="00247FEF">
            <w:pPr>
              <w:jc w:val="center"/>
              <w:rPr>
                <w:b/>
                <w:lang w:eastAsia="en-US"/>
              </w:rPr>
            </w:pPr>
            <w:r w:rsidRPr="008845BF">
              <w:rPr>
                <w:b/>
                <w:sz w:val="22"/>
                <w:lang w:eastAsia="en-US"/>
              </w:rPr>
              <w:t>Оценка значимости риска и динамика</w:t>
            </w:r>
          </w:p>
        </w:tc>
      </w:tr>
      <w:tr w:rsidR="008845BF" w:rsidRPr="008845BF" w:rsidTr="008845BF">
        <w:tc>
          <w:tcPr>
            <w:tcW w:w="9606" w:type="dxa"/>
            <w:gridSpan w:val="5"/>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b/>
                <w:lang w:eastAsia="en-US"/>
              </w:rPr>
              <w:t>Отраслевые риски:</w: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1</w:t>
            </w:r>
          </w:p>
        </w:tc>
        <w:tc>
          <w:tcPr>
            <w:tcW w:w="1957" w:type="dxa"/>
            <w:tcBorders>
              <w:top w:val="single" w:sz="4" w:space="0" w:color="auto"/>
              <w:left w:val="single" w:sz="4" w:space="0" w:color="auto"/>
              <w:bottom w:val="single" w:sz="4" w:space="0" w:color="auto"/>
              <w:right w:val="single" w:sz="4" w:space="0" w:color="auto"/>
            </w:tcBorders>
          </w:tcPr>
          <w:p w:rsidR="008845BF" w:rsidRPr="008845BF" w:rsidRDefault="008845BF" w:rsidP="00247FEF">
            <w:pPr>
              <w:jc w:val="both"/>
              <w:rPr>
                <w:lang w:eastAsia="en-US"/>
              </w:rPr>
            </w:pPr>
            <w:r w:rsidRPr="008845BF">
              <w:rPr>
                <w:lang w:eastAsia="en-US"/>
              </w:rPr>
              <w:t>Тарифные риски</w:t>
            </w:r>
          </w:p>
          <w:p w:rsidR="008845BF" w:rsidRPr="008845BF" w:rsidRDefault="008845BF" w:rsidP="00247FEF">
            <w:pPr>
              <w:jc w:val="both"/>
              <w:rPr>
                <w:lang w:eastAsia="en-US"/>
              </w:rPr>
            </w:pP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 xml:space="preserve">В связи с реализуемой в настоящее время Правительством Российской Федерации политикой сдерживания роста тарифов на товары и услуги субъектов </w:t>
            </w:r>
            <w:r w:rsidRPr="008845BF">
              <w:rPr>
                <w:lang w:eastAsia="en-US"/>
              </w:rPr>
              <w:lastRenderedPageBreak/>
              <w:t>естественных монополий существуют риски установления регулирующими органами тарифов сбытовой надбавки ниже экономически обоснованных уровней.</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 xml:space="preserve">Для минимизации риска Обществом проводится работа по корректной подготовке обосновывающих материалов при установлении </w:t>
            </w:r>
            <w:r w:rsidRPr="008845BF">
              <w:rPr>
                <w:lang w:eastAsia="en-US"/>
              </w:rPr>
              <w:lastRenderedPageBreak/>
              <w:t>регулятором тарифно-балансовых решений.</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w:lastRenderedPageBreak/>
              <mc:AlternateContent>
                <mc:Choice Requires="wps">
                  <w:drawing>
                    <wp:anchor distT="0" distB="0" distL="114300" distR="114300" simplePos="0" relativeHeight="251705344" behindDoc="0" locked="0" layoutInCell="1" allowOverlap="1" wp14:anchorId="2144298C" wp14:editId="4EFA9E0D">
                      <wp:simplePos x="0" y="0"/>
                      <wp:positionH relativeFrom="column">
                        <wp:posOffset>381000</wp:posOffset>
                      </wp:positionH>
                      <wp:positionV relativeFrom="paragraph">
                        <wp:posOffset>185420</wp:posOffset>
                      </wp:positionV>
                      <wp:extent cx="71755" cy="179705"/>
                      <wp:effectExtent l="19050" t="19050" r="42545" b="10795"/>
                      <wp:wrapNone/>
                      <wp:docPr id="53" name="Стрелка вверх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up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Стрелка вверх 53" o:spid="_x0000_s1026" type="#_x0000_t68" style="position:absolute;margin-left:30pt;margin-top:14.6pt;width:5.65pt;height:14.1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" adj="4312" fillcolor="#4f81bd" strokecolor="#385d8a" strokeweight="2pt">
                      <v:path arrowok="t"/>
                    </v:shape>
                  </w:pict>
                </mc:Fallback>
              </mc:AlternateContent>
            </w:r>
            <w:r w:rsidRPr="008845BF">
              <w:rPr>
                <w:noProof/>
              </w:rPr>
              <mc:AlternateContent>
                <mc:Choice Requires="wps">
                  <w:drawing>
                    <wp:anchor distT="0" distB="0" distL="114300" distR="114300" simplePos="0" relativeHeight="251693056" behindDoc="0" locked="0" layoutInCell="1" allowOverlap="1" wp14:anchorId="7F8E296B" wp14:editId="0BD7DFC4">
                      <wp:simplePos x="0" y="0"/>
                      <wp:positionH relativeFrom="column">
                        <wp:posOffset>-3810</wp:posOffset>
                      </wp:positionH>
                      <wp:positionV relativeFrom="paragraph">
                        <wp:posOffset>86995</wp:posOffset>
                      </wp:positionV>
                      <wp:extent cx="270510" cy="278130"/>
                      <wp:effectExtent l="0" t="0" r="0" b="7620"/>
                      <wp:wrapNone/>
                      <wp:docPr id="17" name="Овал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FF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17" o:spid="_x0000_s1026" style="position:absolute;margin-left:-.3pt;margin-top:6.85pt;width:21.3pt;height:21.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" fillcolor="yellow"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2</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лишением статуса и функций ГП</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 xml:space="preserve">Основным риском функционирования гарантирующего поставщика на оптовом рынке является лишение статуса субъекта оптового рынка в связи с наличием неурегулированной задолженности перед поставщиками оптового рынка электроэнергии (мощности). </w:t>
            </w:r>
          </w:p>
          <w:p w:rsidR="008845BF" w:rsidRPr="008845BF" w:rsidRDefault="008845BF" w:rsidP="00247FEF">
            <w:pPr>
              <w:jc w:val="both"/>
              <w:rPr>
                <w:lang w:eastAsia="en-US"/>
              </w:rPr>
            </w:pPr>
            <w:r w:rsidRPr="008845BF">
              <w:rPr>
                <w:lang w:eastAsia="en-US"/>
              </w:rPr>
              <w:t>В случае реализации этого риска Общество потеряет потребителей на розничном рынке, вследствие их перехода на обслуживание к другой энергосбытовой компании или к другому Гарантирующему поставщику, действующему на территории субъекта РФ или определенному по результатам конкурса на право осуществления деятельности в качестве гарантирующего поставщика.</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Мероприятиями по снижению риска являются:</w:t>
            </w:r>
          </w:p>
          <w:p w:rsidR="008845BF" w:rsidRPr="008845BF" w:rsidRDefault="008845BF" w:rsidP="00247FEF">
            <w:pPr>
              <w:jc w:val="both"/>
              <w:rPr>
                <w:lang w:eastAsia="en-US"/>
              </w:rPr>
            </w:pPr>
            <w:r w:rsidRPr="008845BF">
              <w:rPr>
                <w:lang w:eastAsia="en-US"/>
              </w:rPr>
              <w:t>- урегулирование задолженности перед поставщиками оптового рынка электроэнергии и мощности путем заключения соглашений о реструктуризации задолженности;</w:t>
            </w:r>
          </w:p>
          <w:p w:rsidR="008845BF" w:rsidRPr="008845BF" w:rsidRDefault="008845BF" w:rsidP="00247FEF">
            <w:pPr>
              <w:jc w:val="both"/>
              <w:rPr>
                <w:lang w:eastAsia="en-US"/>
              </w:rPr>
            </w:pPr>
            <w:r w:rsidRPr="008845BF">
              <w:rPr>
                <w:lang w:eastAsia="en-US"/>
              </w:rPr>
              <w:t>- изыскание денежных средств для своевременных расчетов по текущим обязательствам и погашения просроченной задолженности перед поставщиками ОРЭМ с целью недопущения лишения Общества статуса субъекта оптового рынка.</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06368" behindDoc="0" locked="0" layoutInCell="1" allowOverlap="1" wp14:anchorId="60289188" wp14:editId="0F63E973">
                      <wp:simplePos x="0" y="0"/>
                      <wp:positionH relativeFrom="column">
                        <wp:posOffset>405130</wp:posOffset>
                      </wp:positionH>
                      <wp:positionV relativeFrom="paragraph">
                        <wp:posOffset>186690</wp:posOffset>
                      </wp:positionV>
                      <wp:extent cx="71755" cy="179705"/>
                      <wp:effectExtent l="19050" t="0" r="42545" b="29845"/>
                      <wp:wrapNone/>
                      <wp:docPr id="54" name="Стрелка вниз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54" o:spid="_x0000_s1026" type="#_x0000_t67" style="position:absolute;margin-left:31.9pt;margin-top:14.7pt;width:5.65pt;height:14.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699200" behindDoc="0" locked="0" layoutInCell="1" allowOverlap="1" wp14:anchorId="06FF887E" wp14:editId="14240798">
                      <wp:simplePos x="0" y="0"/>
                      <wp:positionH relativeFrom="column">
                        <wp:posOffset>-12065</wp:posOffset>
                      </wp:positionH>
                      <wp:positionV relativeFrom="paragraph">
                        <wp:posOffset>96520</wp:posOffset>
                      </wp:positionV>
                      <wp:extent cx="270510" cy="278130"/>
                      <wp:effectExtent l="0" t="0" r="0" b="7620"/>
                      <wp:wrapNone/>
                      <wp:docPr id="42" name="Овал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2" o:spid="_x0000_s1026" style="position:absolute;margin-left:-.95pt;margin-top:7.6pt;width:21.3pt;height:21.9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" fillcolor="red"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3</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роста просроченной и безнадежной дебиторской задолженности</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 xml:space="preserve">Риски, связанные с неисполнением обязательств контрагентами по заключенным договорам, включают в себя срыв поставки товаров и выполнения работ (услуг), а также финансовые потери в случаях, когда договором предусмотрено авансирование. Для минимизации указанных </w:t>
            </w:r>
            <w:r w:rsidRPr="008845BF">
              <w:rPr>
                <w:lang w:eastAsia="en-US"/>
              </w:rPr>
              <w:lastRenderedPageBreak/>
              <w:t>рисков в Обществе проводится работа по обеспечению контроля проведения процедур закупок с учетом регламентирующих документов, контроля исполнения обязательств контрагентами, а также заключению договоров с условиями минимального авансирования.</w:t>
            </w:r>
          </w:p>
          <w:p w:rsidR="008845BF" w:rsidRPr="008845BF" w:rsidRDefault="008845BF" w:rsidP="00247FEF">
            <w:pPr>
              <w:jc w:val="both"/>
              <w:rPr>
                <w:lang w:eastAsia="en-US"/>
              </w:rPr>
            </w:pPr>
            <w:r w:rsidRPr="008845BF">
              <w:rPr>
                <w:lang w:eastAsia="en-US"/>
              </w:rPr>
              <w:t>Несоблюдение потребителями условий договоров в части оплаты электроэнергии, что провоцирует рост дебиторской задолженности. В связи с повышением либерализации рынков и увеличением тарифов на электроэнергию данный фактор приобретает все более важное значение.</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 xml:space="preserve">Для решения этих проблем Общество проводит комплекс мероприятий для снижения дебиторской задолженности: проведение работы с потребителями, направление потребителям электроэнергии уведомлений и претензий, </w:t>
            </w:r>
            <w:r w:rsidRPr="008845BF">
              <w:rPr>
                <w:lang w:eastAsia="en-US"/>
              </w:rPr>
              <w:lastRenderedPageBreak/>
              <w:t>реструктуризация задолженности, взыскание задолженности через суд, привлечение государственных и правоохранительных органов к взысканию задолженности.</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w:lastRenderedPageBreak/>
              <mc:AlternateContent>
                <mc:Choice Requires="wps">
                  <w:drawing>
                    <wp:anchor distT="0" distB="0" distL="114300" distR="114300" simplePos="0" relativeHeight="251707392" behindDoc="0" locked="0" layoutInCell="1" allowOverlap="1" wp14:anchorId="63AEE9C6" wp14:editId="484B369B">
                      <wp:simplePos x="0" y="0"/>
                      <wp:positionH relativeFrom="column">
                        <wp:posOffset>442595</wp:posOffset>
                      </wp:positionH>
                      <wp:positionV relativeFrom="paragraph">
                        <wp:posOffset>170180</wp:posOffset>
                      </wp:positionV>
                      <wp:extent cx="71755" cy="179705"/>
                      <wp:effectExtent l="19050" t="0" r="42545" b="29845"/>
                      <wp:wrapNone/>
                      <wp:docPr id="55" name="Стрелка вниз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55" o:spid="_x0000_s1026" type="#_x0000_t67" style="position:absolute;margin-left:34.85pt;margin-top:13.4pt;width:5.65pt;height:14.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694080" behindDoc="0" locked="0" layoutInCell="1" allowOverlap="1" wp14:anchorId="087AC4CF" wp14:editId="68DCED46">
                      <wp:simplePos x="0" y="0"/>
                      <wp:positionH relativeFrom="column">
                        <wp:posOffset>-5080</wp:posOffset>
                      </wp:positionH>
                      <wp:positionV relativeFrom="paragraph">
                        <wp:posOffset>74930</wp:posOffset>
                      </wp:positionV>
                      <wp:extent cx="270510" cy="278130"/>
                      <wp:effectExtent l="0" t="0" r="0" b="7620"/>
                      <wp:wrapNone/>
                      <wp:docPr id="24" name="Овал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24" o:spid="_x0000_s1026" style="position:absolute;margin-left:-.4pt;margin-top:5.9pt;width:21.3pt;height:21.9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" fillcolor="red" stroked="f" strokeweight="2pt">
                      <v:path arrowok="t"/>
                    </v:oval>
                  </w:pict>
                </mc:Fallback>
              </mc:AlternateContent>
            </w:r>
          </w:p>
        </w:tc>
      </w:tr>
      <w:tr w:rsidR="008845BF" w:rsidRPr="008845BF" w:rsidTr="008845BF">
        <w:tc>
          <w:tcPr>
            <w:tcW w:w="9606" w:type="dxa"/>
            <w:gridSpan w:val="5"/>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rPr>
                <w:b/>
                <w:lang w:eastAsia="en-US"/>
              </w:rPr>
            </w:pPr>
            <w:r w:rsidRPr="008845BF">
              <w:rPr>
                <w:b/>
                <w:lang w:eastAsia="en-US"/>
              </w:rPr>
              <w:lastRenderedPageBreak/>
              <w:t>Страновые и региональные риски:</w: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4</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политической и экономической ситуацией в стране и регионе</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Деятельность Общества подвержена рискам изменения макроэкономической ситуации и социально-политической обстановки в стране. Отрицательное влияние макроэкономических факторов влечет за собой сложности с привлечением инвестиций и увеличение стоимости заемного капитала. На данном этапе социально-экономическая ситуация в России характеризуется стабильностью, на фоне которой реализация рисковых событий, связанных с отсутствием устойчивости в социально-</w:t>
            </w:r>
            <w:r w:rsidRPr="008845BF">
              <w:rPr>
                <w:lang w:eastAsia="en-US"/>
              </w:rPr>
              <w:lastRenderedPageBreak/>
              <w:t>экономических аспектах, оценивается как маловероятная.</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В случае дестабилизации политической и экономической ситуаций в России или в отдельно взятом регионе, которая может оказать отрицательное влияние на деятельность Общества, будут предприняты меры по антикризисному управлению и оптимизации операционных издержек с целью максимального снижения негативного воздействия ситуации на Общество.</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08416" behindDoc="0" locked="0" layoutInCell="1" allowOverlap="1" wp14:anchorId="5DF3114F" wp14:editId="50EBE122">
                      <wp:simplePos x="0" y="0"/>
                      <wp:positionH relativeFrom="column">
                        <wp:posOffset>403225</wp:posOffset>
                      </wp:positionH>
                      <wp:positionV relativeFrom="paragraph">
                        <wp:posOffset>147320</wp:posOffset>
                      </wp:positionV>
                      <wp:extent cx="71755" cy="179705"/>
                      <wp:effectExtent l="19050" t="19050" r="42545" b="10795"/>
                      <wp:wrapNone/>
                      <wp:docPr id="56" name="Стрелка вверх 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up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верх 56" o:spid="_x0000_s1026" type="#_x0000_t68" style="position:absolute;margin-left:31.75pt;margin-top:11.6pt;width:5.65pt;height:14.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" adj="4312" fillcolor="#4f81bd" strokecolor="#385d8a" strokeweight="2pt">
                      <v:path arrowok="t"/>
                    </v:shape>
                  </w:pict>
                </mc:Fallback>
              </mc:AlternateContent>
            </w:r>
            <w:r w:rsidRPr="008845BF">
              <w:rPr>
                <w:noProof/>
              </w:rPr>
              <mc:AlternateContent>
                <mc:Choice Requires="wps">
                  <w:drawing>
                    <wp:anchor distT="0" distB="0" distL="114300" distR="114300" simplePos="0" relativeHeight="251700224" behindDoc="0" locked="0" layoutInCell="1" allowOverlap="1" wp14:anchorId="0428C29A" wp14:editId="2ABE3AFB">
                      <wp:simplePos x="0" y="0"/>
                      <wp:positionH relativeFrom="column">
                        <wp:posOffset>-19050</wp:posOffset>
                      </wp:positionH>
                      <wp:positionV relativeFrom="paragraph">
                        <wp:posOffset>46990</wp:posOffset>
                      </wp:positionV>
                      <wp:extent cx="270510" cy="278130"/>
                      <wp:effectExtent l="0" t="0" r="0" b="7620"/>
                      <wp:wrapNone/>
                      <wp:docPr id="45" name="Овал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FF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5" o:spid="_x0000_s1026" style="position:absolute;margin-left:-1.5pt;margin-top:3.7pt;width:21.3pt;height:21.9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" fillcolor="yellow"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5</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географическими особенностями страны или региона, в т.ч. повышенная опасность стихийных бедствий, возможное прекращение транспортного сообщения</w:t>
            </w:r>
          </w:p>
        </w:tc>
        <w:tc>
          <w:tcPr>
            <w:tcW w:w="3118" w:type="dxa"/>
            <w:tcBorders>
              <w:top w:val="single" w:sz="4" w:space="0" w:color="auto"/>
              <w:left w:val="single" w:sz="4" w:space="0" w:color="auto"/>
              <w:bottom w:val="single" w:sz="4" w:space="0" w:color="auto"/>
              <w:right w:val="single" w:sz="4" w:space="0" w:color="auto"/>
            </w:tcBorders>
          </w:tcPr>
          <w:p w:rsidR="008845BF" w:rsidRPr="008845BF" w:rsidRDefault="008845BF" w:rsidP="00247FEF">
            <w:pPr>
              <w:jc w:val="both"/>
              <w:rPr>
                <w:lang w:eastAsia="en-US"/>
              </w:rPr>
            </w:pPr>
            <w:r w:rsidRPr="008845BF">
              <w:rPr>
                <w:lang w:eastAsia="en-US"/>
              </w:rPr>
              <w:t>- На функционирование и развитие энергетической отрасли на Северном Кавказе влияют следующие негативные факторы: слабое развитие крупной промышленности, зависимость северокавказских республик от дотаций федерального уровня, высокая изношенность электросетевого хозяйства, социально-экономическая напряженность региона, географические и климатические особенности региона.</w:t>
            </w:r>
          </w:p>
          <w:p w:rsidR="008845BF" w:rsidRPr="008845BF" w:rsidRDefault="008845BF" w:rsidP="00247FEF">
            <w:pPr>
              <w:jc w:val="both"/>
              <w:rPr>
                <w:lang w:eastAsia="en-US"/>
              </w:rPr>
            </w:pP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Для минимизации влияния данных факторов осуществляется комплекс</w:t>
            </w:r>
            <w:r w:rsidRPr="008845BF">
              <w:rPr>
                <w:lang w:eastAsia="en-GB"/>
              </w:rPr>
              <w:t xml:space="preserve"> мероприятий</w:t>
            </w:r>
            <w:r w:rsidRPr="008845BF">
              <w:rPr>
                <w:lang w:eastAsia="en-US"/>
              </w:rPr>
              <w:t xml:space="preserve"> по отслеживанию развития отраслей экономики региона, прогнозированию и планированию объемов потребления электроэнергии и мощности в регионе и взаимодействие с органами государственного регулирования с целью установления экономически обоснованных тарифов на электроэнергию.</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19680" behindDoc="0" locked="0" layoutInCell="1" allowOverlap="1" wp14:anchorId="7A3BD6BB" wp14:editId="64A9B586">
                      <wp:simplePos x="0" y="0"/>
                      <wp:positionH relativeFrom="column">
                        <wp:posOffset>409575</wp:posOffset>
                      </wp:positionH>
                      <wp:positionV relativeFrom="paragraph">
                        <wp:posOffset>103505</wp:posOffset>
                      </wp:positionV>
                      <wp:extent cx="71755" cy="179705"/>
                      <wp:effectExtent l="19050" t="0" r="42545" b="29845"/>
                      <wp:wrapNone/>
                      <wp:docPr id="13" name="Стрелка вниз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13" o:spid="_x0000_s1026" type="#_x0000_t67" style="position:absolute;margin-left:32.25pt;margin-top:8.15pt;width:5.65pt;height:14.1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16608" behindDoc="0" locked="0" layoutInCell="1" allowOverlap="1" wp14:anchorId="5DA5BD9B" wp14:editId="3A67BAAD">
                      <wp:simplePos x="0" y="0"/>
                      <wp:positionH relativeFrom="column">
                        <wp:posOffset>-19685</wp:posOffset>
                      </wp:positionH>
                      <wp:positionV relativeFrom="paragraph">
                        <wp:posOffset>43815</wp:posOffset>
                      </wp:positionV>
                      <wp:extent cx="270510" cy="278130"/>
                      <wp:effectExtent l="0" t="0" r="0" b="7620"/>
                      <wp:wrapNone/>
                      <wp:docPr id="43" name="Овал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3" o:spid="_x0000_s1026" style="position:absolute;margin-left:-1.55pt;margin-top:3.45pt;width:21.3pt;height:21.9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" fillcolor="#00b050"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6</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криминогенной обстановкой</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rFonts w:eastAsia="Calibri"/>
                <w:lang w:eastAsia="en-US"/>
              </w:rPr>
              <w:t xml:space="preserve">Обстоятельствами объективно препятствующими деятельности Общества являются: напряженная криминогенная обстановка и угрозы проведения террористических актов на территории республики. Так непрекращающиеся попытки радикальных элементов дестабилизировать  обстановку на Северном Кавказе оказывают негативное влияние и на работу Общества. Практически ежеквартально в районах республики вводится режим контртеррористической операции по ликвидации бандформирований. </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 xml:space="preserve">Профилактическая работа с сотрудниками Общества, включая систематическое проведения занятий, усиление охраны в праздничные дни, установление круглосуточного дежурства на объектах Общества </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b/>
                <w:noProof/>
                <w:sz w:val="28"/>
                <w:szCs w:val="28"/>
                <w:lang w:eastAsia="en-US"/>
              </w:rPr>
            </w:pPr>
            <w:r w:rsidRPr="008845BF">
              <w:rPr>
                <w:noProof/>
              </w:rPr>
              <mc:AlternateContent>
                <mc:Choice Requires="wps">
                  <w:drawing>
                    <wp:anchor distT="0" distB="0" distL="114300" distR="114300" simplePos="0" relativeHeight="251717632" behindDoc="0" locked="0" layoutInCell="1" allowOverlap="1" wp14:anchorId="27187157" wp14:editId="6FC0E13B">
                      <wp:simplePos x="0" y="0"/>
                      <wp:positionH relativeFrom="column">
                        <wp:posOffset>409575</wp:posOffset>
                      </wp:positionH>
                      <wp:positionV relativeFrom="paragraph">
                        <wp:posOffset>184150</wp:posOffset>
                      </wp:positionV>
                      <wp:extent cx="71755" cy="179705"/>
                      <wp:effectExtent l="19050" t="0" r="42545" b="29845"/>
                      <wp:wrapNone/>
                      <wp:docPr id="57" name="Стрелка вниз 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57" o:spid="_x0000_s1026" type="#_x0000_t67" style="position:absolute;margin-left:32.25pt;margin-top:14.5pt;width:5.65pt;height:14.1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18656" behindDoc="0" locked="0" layoutInCell="1" allowOverlap="1" wp14:anchorId="558D9157" wp14:editId="330D88A7">
                      <wp:simplePos x="0" y="0"/>
                      <wp:positionH relativeFrom="column">
                        <wp:posOffset>-19685</wp:posOffset>
                      </wp:positionH>
                      <wp:positionV relativeFrom="paragraph">
                        <wp:posOffset>91440</wp:posOffset>
                      </wp:positionV>
                      <wp:extent cx="270510" cy="278130"/>
                      <wp:effectExtent l="0" t="0" r="0" b="7620"/>
                      <wp:wrapNone/>
                      <wp:docPr id="14" name="Овал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14" o:spid="_x0000_s1026" style="position:absolute;margin-left:-1.55pt;margin-top:7.2pt;width:21.3pt;height:21.9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" fillcolor="#00b050" stroked="f" strokeweight="2pt">
                      <v:path arrowok="t"/>
                    </v:oval>
                  </w:pict>
                </mc:Fallback>
              </mc:AlternateContent>
            </w:r>
          </w:p>
        </w:tc>
      </w:tr>
      <w:tr w:rsidR="008845BF" w:rsidRPr="008845BF" w:rsidTr="008845BF">
        <w:tc>
          <w:tcPr>
            <w:tcW w:w="9606" w:type="dxa"/>
            <w:gridSpan w:val="5"/>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b/>
                <w:lang w:eastAsia="en-US"/>
              </w:rPr>
              <w:lastRenderedPageBreak/>
              <w:t>Финансовые риски:</w: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7</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изменением валютных курсов</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Деятельность Общества осуществляется на территории Российской Федерации, а вся сумма его операционных расходов номинирована в национальной валюте и не относится к расчётам с иностранными поставщиками.</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Прямому влиянию валютных рисков Общество не подвержено.</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09440" behindDoc="0" locked="0" layoutInCell="1" allowOverlap="1" wp14:anchorId="0B3D5245" wp14:editId="4A89D9DD">
                      <wp:simplePos x="0" y="0"/>
                      <wp:positionH relativeFrom="column">
                        <wp:posOffset>421640</wp:posOffset>
                      </wp:positionH>
                      <wp:positionV relativeFrom="paragraph">
                        <wp:posOffset>144780</wp:posOffset>
                      </wp:positionV>
                      <wp:extent cx="71755" cy="179705"/>
                      <wp:effectExtent l="19050" t="0" r="42545" b="29845"/>
                      <wp:wrapNone/>
                      <wp:docPr id="58" name="Стрелка вниз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58" o:spid="_x0000_s1026" type="#_x0000_t67" style="position:absolute;margin-left:33.2pt;margin-top:11.4pt;width:5.65pt;height:14.1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01248" behindDoc="0" locked="0" layoutInCell="1" allowOverlap="1" wp14:anchorId="2577C0FD" wp14:editId="7E336B3F">
                      <wp:simplePos x="0" y="0"/>
                      <wp:positionH relativeFrom="column">
                        <wp:posOffset>3175</wp:posOffset>
                      </wp:positionH>
                      <wp:positionV relativeFrom="paragraph">
                        <wp:posOffset>50800</wp:posOffset>
                      </wp:positionV>
                      <wp:extent cx="270510" cy="278130"/>
                      <wp:effectExtent l="0" t="0" r="0" b="7620"/>
                      <wp:wrapNone/>
                      <wp:docPr id="46" name="Овал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6" o:spid="_x0000_s1026" style="position:absolute;margin-left:.25pt;margin-top:4pt;width:21.3pt;height:21.9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" fillcolor="#00b050"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8</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изменениями процентных ставок</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Для осуществления своей деятельности Общество может привлекать заемные средства в качестве источников финансирования хозяйственной деятельности, в связи с чем, оно может быть подвержено риску увеличения процентных ставок по займам.</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В целях минимизации данного риска Общество будет проводить работу по взаимодействию с кредитными организациями в целях привлечения заемных средств под минимальные проценты с максимально удобными условиями заимствования.</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10464" behindDoc="0" locked="0" layoutInCell="1" allowOverlap="1" wp14:anchorId="0F79071A" wp14:editId="311228A5">
                      <wp:simplePos x="0" y="0"/>
                      <wp:positionH relativeFrom="column">
                        <wp:posOffset>417830</wp:posOffset>
                      </wp:positionH>
                      <wp:positionV relativeFrom="paragraph">
                        <wp:posOffset>149860</wp:posOffset>
                      </wp:positionV>
                      <wp:extent cx="71755" cy="179705"/>
                      <wp:effectExtent l="19050" t="19050" r="42545" b="10795"/>
                      <wp:wrapNone/>
                      <wp:docPr id="59" name="Стрелка вверх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up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верх 59" o:spid="_x0000_s1026" type="#_x0000_t68" style="position:absolute;margin-left:32.9pt;margin-top:11.8pt;width:5.65pt;height:14.1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" adj="4312" fillcolor="#4f81bd" strokecolor="#385d8a" strokeweight="2pt">
                      <v:path arrowok="t"/>
                    </v:shape>
                  </w:pict>
                </mc:Fallback>
              </mc:AlternateContent>
            </w:r>
            <w:r w:rsidRPr="008845BF">
              <w:rPr>
                <w:noProof/>
              </w:rPr>
              <mc:AlternateContent>
                <mc:Choice Requires="wps">
                  <w:drawing>
                    <wp:anchor distT="0" distB="0" distL="114300" distR="114300" simplePos="0" relativeHeight="251702272" behindDoc="0" locked="0" layoutInCell="1" allowOverlap="1" wp14:anchorId="20ADFE43" wp14:editId="4E000C48">
                      <wp:simplePos x="0" y="0"/>
                      <wp:positionH relativeFrom="column">
                        <wp:posOffset>3810</wp:posOffset>
                      </wp:positionH>
                      <wp:positionV relativeFrom="paragraph">
                        <wp:posOffset>46355</wp:posOffset>
                      </wp:positionV>
                      <wp:extent cx="270510" cy="278130"/>
                      <wp:effectExtent l="0" t="0" r="0" b="7620"/>
                      <wp:wrapNone/>
                      <wp:docPr id="47" name="Овал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FF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7" o:spid="_x0000_s1026" style="position:absolute;margin-left:.3pt;margin-top:3.65pt;width:21.3pt;height:21.9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" fillcolor="yellow"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9</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Риски, связанные с влиянием инфляции</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Рост уровня инфляции способствует обесценению просроченной дебиторской задолженности Общества, а также увеличению запланированных расходов в связи с ограничением их уровня утверждаемыми регулятором тарифно-балансовыми решениями на планируемый период. Существующий в настоящее время уровень инфляции не оказывает значительного влияния на финансовое положение и платежеспособность Общества.</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 xml:space="preserve">С целью минимизации инфляционных рисков и снижения их последствий Общество уделяет особое внимание существующим договорным отношениям с покупателями с целью сокращения объемов дебиторской задолженности. В случае существенного роста инфляции Общество намерено повышать операционную эффективность деятельности путем снижения операционных издержек и увеличения </w:t>
            </w:r>
            <w:r w:rsidRPr="008845BF">
              <w:rPr>
                <w:lang w:eastAsia="en-US"/>
              </w:rPr>
              <w:lastRenderedPageBreak/>
              <w:t>оборачиваемости активов.</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w:lastRenderedPageBreak/>
              <mc:AlternateContent>
                <mc:Choice Requires="wps">
                  <w:drawing>
                    <wp:anchor distT="0" distB="0" distL="114300" distR="114300" simplePos="0" relativeHeight="251711488" behindDoc="0" locked="0" layoutInCell="1" allowOverlap="1" wp14:anchorId="448950DC" wp14:editId="62EFF205">
                      <wp:simplePos x="0" y="0"/>
                      <wp:positionH relativeFrom="column">
                        <wp:posOffset>419735</wp:posOffset>
                      </wp:positionH>
                      <wp:positionV relativeFrom="paragraph">
                        <wp:posOffset>159385</wp:posOffset>
                      </wp:positionV>
                      <wp:extent cx="71755" cy="179705"/>
                      <wp:effectExtent l="19050" t="19050" r="42545" b="10795"/>
                      <wp:wrapNone/>
                      <wp:docPr id="60" name="Стрелка вверх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up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верх 60" o:spid="_x0000_s1026" type="#_x0000_t68" style="position:absolute;margin-left:33.05pt;margin-top:12.55pt;width:5.65pt;height:14.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" adj="4312" fillcolor="#4f81bd" strokecolor="#385d8a" strokeweight="2pt">
                      <v:path arrowok="t"/>
                    </v:shape>
                  </w:pict>
                </mc:Fallback>
              </mc:AlternateContent>
            </w:r>
            <w:r w:rsidRPr="008845BF">
              <w:rPr>
                <w:noProof/>
              </w:rPr>
              <mc:AlternateContent>
                <mc:Choice Requires="wps">
                  <w:drawing>
                    <wp:anchor distT="0" distB="0" distL="114300" distR="114300" simplePos="0" relativeHeight="251703296" behindDoc="0" locked="0" layoutInCell="1" allowOverlap="1" wp14:anchorId="2A248B73" wp14:editId="57068841">
                      <wp:simplePos x="0" y="0"/>
                      <wp:positionH relativeFrom="column">
                        <wp:posOffset>6350</wp:posOffset>
                      </wp:positionH>
                      <wp:positionV relativeFrom="paragraph">
                        <wp:posOffset>56515</wp:posOffset>
                      </wp:positionV>
                      <wp:extent cx="270510" cy="278130"/>
                      <wp:effectExtent l="0" t="0" r="0" b="7620"/>
                      <wp:wrapNone/>
                      <wp:docPr id="48" name="Овал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FFFF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8" o:spid="_x0000_s1026" style="position:absolute;margin-left:.5pt;margin-top:4.45pt;width:21.3pt;height:21.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" fillcolor="yellow" stroked="f" strokeweight="2pt">
                      <v:path arrowok="t"/>
                    </v:oval>
                  </w:pict>
                </mc:Fallback>
              </mc:AlternateContent>
            </w:r>
          </w:p>
        </w:tc>
      </w:tr>
      <w:tr w:rsidR="008845BF" w:rsidRPr="008845BF" w:rsidTr="008845BF">
        <w:tc>
          <w:tcPr>
            <w:tcW w:w="9606" w:type="dxa"/>
            <w:gridSpan w:val="5"/>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b/>
                <w:lang w:eastAsia="en-US"/>
              </w:rPr>
              <w:lastRenderedPageBreak/>
              <w:t>Правовые риски:</w: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10</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Правовые риски</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Изменения федерального и регионального законодательства, неоднозначность трактовки различных нормативных актов, могут оказывать влияние на деятельность Общества.</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Для минимизации рисков Общество осуществляет свою деятельность в четком соответствии действующему налоговому, гражданскому, антимонопольному, природоохранному и иному законодательству, отслеживает и своевременно реагирует на изменения в нем.</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noProof/>
              </w:rPr>
              <mc:AlternateContent>
                <mc:Choice Requires="wps">
                  <w:drawing>
                    <wp:anchor distT="0" distB="0" distL="114300" distR="114300" simplePos="0" relativeHeight="251712512" behindDoc="0" locked="0" layoutInCell="1" allowOverlap="1" wp14:anchorId="7F31EB61" wp14:editId="391FDBA1">
                      <wp:simplePos x="0" y="0"/>
                      <wp:positionH relativeFrom="column">
                        <wp:posOffset>434975</wp:posOffset>
                      </wp:positionH>
                      <wp:positionV relativeFrom="paragraph">
                        <wp:posOffset>191135</wp:posOffset>
                      </wp:positionV>
                      <wp:extent cx="71755" cy="179705"/>
                      <wp:effectExtent l="19050" t="0" r="42545" b="29845"/>
                      <wp:wrapNone/>
                      <wp:docPr id="61" name="Стрелка вниз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61" o:spid="_x0000_s1026" type="#_x0000_t67" style="position:absolute;margin-left:34.25pt;margin-top:15.05pt;width:5.65pt;height:14.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04320" behindDoc="0" locked="0" layoutInCell="1" allowOverlap="1" wp14:anchorId="16397ED7" wp14:editId="36C3BF4B">
                      <wp:simplePos x="0" y="0"/>
                      <wp:positionH relativeFrom="column">
                        <wp:posOffset>26035</wp:posOffset>
                      </wp:positionH>
                      <wp:positionV relativeFrom="paragraph">
                        <wp:posOffset>93980</wp:posOffset>
                      </wp:positionV>
                      <wp:extent cx="270510" cy="278130"/>
                      <wp:effectExtent l="0" t="0" r="0" b="7620"/>
                      <wp:wrapNone/>
                      <wp:docPr id="49" name="Овал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49" o:spid="_x0000_s1026" style="position:absolute;margin-left:2.05pt;margin-top:7.4pt;width:21.3pt;height:21.9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" fillcolor="#00b050" stroked="f" strokeweight="2pt">
                      <v:path arrowok="t"/>
                    </v:oval>
                  </w:pict>
                </mc:Fallback>
              </mc:AlternateContent>
            </w:r>
          </w:p>
        </w:tc>
      </w:tr>
      <w:tr w:rsidR="008845BF" w:rsidRPr="008845BF" w:rsidTr="008845BF">
        <w:tc>
          <w:tcPr>
            <w:tcW w:w="9606" w:type="dxa"/>
            <w:gridSpan w:val="5"/>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b/>
                <w:lang w:eastAsia="en-US"/>
              </w:rPr>
              <w:t>Риски, связанные с деятельностью Общества:</w: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t>11</w:t>
            </w:r>
          </w:p>
        </w:tc>
        <w:tc>
          <w:tcPr>
            <w:tcW w:w="1957" w:type="dxa"/>
            <w:tcBorders>
              <w:top w:val="single" w:sz="4" w:space="0" w:color="auto"/>
              <w:left w:val="single" w:sz="4" w:space="0" w:color="auto"/>
              <w:bottom w:val="single" w:sz="4" w:space="0" w:color="auto"/>
              <w:right w:val="single" w:sz="4" w:space="0" w:color="auto"/>
            </w:tcBorders>
          </w:tcPr>
          <w:p w:rsidR="008845BF" w:rsidRPr="008845BF" w:rsidRDefault="008845BF" w:rsidP="00247FEF">
            <w:pPr>
              <w:spacing w:before="100" w:beforeAutospacing="1" w:after="100" w:afterAutospacing="1"/>
              <w:jc w:val="center"/>
              <w:rPr>
                <w:lang w:eastAsia="en-US"/>
              </w:rPr>
            </w:pPr>
            <w:r w:rsidRPr="008845BF">
              <w:rPr>
                <w:lang w:eastAsia="en-US"/>
              </w:rPr>
              <w:t>Судебные риски</w:t>
            </w:r>
          </w:p>
          <w:p w:rsidR="008845BF" w:rsidRPr="008845BF" w:rsidRDefault="008845BF" w:rsidP="00247FEF">
            <w:pPr>
              <w:jc w:val="both"/>
              <w:rPr>
                <w:lang w:eastAsia="en-US"/>
              </w:rPr>
            </w:pPr>
          </w:p>
        </w:tc>
        <w:tc>
          <w:tcPr>
            <w:tcW w:w="3118" w:type="dxa"/>
            <w:tcBorders>
              <w:top w:val="single" w:sz="4" w:space="0" w:color="auto"/>
              <w:left w:val="single" w:sz="4" w:space="0" w:color="auto"/>
              <w:bottom w:val="single" w:sz="4" w:space="0" w:color="auto"/>
              <w:right w:val="single" w:sz="4" w:space="0" w:color="auto"/>
            </w:tcBorders>
          </w:tcPr>
          <w:p w:rsidR="008845BF" w:rsidRPr="008845BF" w:rsidRDefault="008845BF" w:rsidP="00247FEF">
            <w:pPr>
              <w:ind w:firstLine="709"/>
              <w:jc w:val="both"/>
              <w:rPr>
                <w:color w:val="000000"/>
                <w:lang w:eastAsia="en-US"/>
              </w:rPr>
            </w:pPr>
            <w:r w:rsidRPr="008845BF">
              <w:rPr>
                <w:color w:val="000000"/>
                <w:lang w:eastAsia="en-US"/>
              </w:rPr>
              <w:t>Общество является участником судебных процессов, выступая в них как истцом, так и ответчиком. В связи с этим, в ходе участия Общества в судебных процессах, возможна реализация следующих рисков:</w:t>
            </w:r>
          </w:p>
          <w:p w:rsidR="008845BF" w:rsidRPr="008845BF" w:rsidRDefault="008845BF" w:rsidP="00247FEF">
            <w:pPr>
              <w:numPr>
                <w:ilvl w:val="0"/>
                <w:numId w:val="54"/>
              </w:numPr>
              <w:tabs>
                <w:tab w:val="left" w:pos="993"/>
              </w:tabs>
              <w:spacing w:after="200"/>
              <w:ind w:left="0" w:firstLine="709"/>
              <w:contextualSpacing/>
              <w:jc w:val="both"/>
              <w:rPr>
                <w:color w:val="000000"/>
                <w:lang w:eastAsia="en-US"/>
              </w:rPr>
            </w:pPr>
            <w:r w:rsidRPr="008845BF">
              <w:rPr>
                <w:color w:val="000000"/>
                <w:lang w:eastAsia="en-US"/>
              </w:rPr>
              <w:t>неверное/некорректное толкование судебными органами норм материального и процессуального права;</w:t>
            </w:r>
          </w:p>
          <w:p w:rsidR="008845BF" w:rsidRPr="008845BF" w:rsidRDefault="008845BF" w:rsidP="00247FEF">
            <w:pPr>
              <w:numPr>
                <w:ilvl w:val="0"/>
                <w:numId w:val="54"/>
              </w:numPr>
              <w:tabs>
                <w:tab w:val="left" w:pos="993"/>
              </w:tabs>
              <w:spacing w:after="200"/>
              <w:ind w:left="0" w:firstLine="709"/>
              <w:contextualSpacing/>
              <w:jc w:val="both"/>
              <w:rPr>
                <w:color w:val="000000"/>
                <w:lang w:eastAsia="en-US"/>
              </w:rPr>
            </w:pPr>
            <w:r w:rsidRPr="008845BF">
              <w:rPr>
                <w:color w:val="000000"/>
                <w:lang w:eastAsia="en-US"/>
              </w:rPr>
              <w:t>недостаточная доказательная база по делам о взыскании дебиторской задолженности Общества;</w:t>
            </w:r>
          </w:p>
          <w:p w:rsidR="008845BF" w:rsidRPr="008845BF" w:rsidRDefault="008845BF" w:rsidP="00247FEF">
            <w:pPr>
              <w:numPr>
                <w:ilvl w:val="0"/>
                <w:numId w:val="54"/>
              </w:numPr>
              <w:tabs>
                <w:tab w:val="left" w:pos="993"/>
              </w:tabs>
              <w:spacing w:after="200"/>
              <w:ind w:left="0" w:firstLine="709"/>
              <w:contextualSpacing/>
              <w:jc w:val="both"/>
              <w:rPr>
                <w:color w:val="000000"/>
                <w:lang w:eastAsia="en-US"/>
              </w:rPr>
            </w:pPr>
            <w:r w:rsidRPr="008845BF">
              <w:rPr>
                <w:color w:val="000000"/>
                <w:lang w:eastAsia="en-US"/>
              </w:rPr>
              <w:t>злоупотребление процессуальными правами другими участниками процесса;</w:t>
            </w:r>
          </w:p>
          <w:p w:rsidR="008845BF" w:rsidRPr="008845BF" w:rsidRDefault="008845BF" w:rsidP="00247FEF">
            <w:pPr>
              <w:numPr>
                <w:ilvl w:val="0"/>
                <w:numId w:val="54"/>
              </w:numPr>
              <w:tabs>
                <w:tab w:val="left" w:pos="993"/>
              </w:tabs>
              <w:spacing w:after="200"/>
              <w:ind w:left="0" w:firstLine="709"/>
              <w:contextualSpacing/>
              <w:jc w:val="both"/>
              <w:rPr>
                <w:color w:val="000000"/>
                <w:lang w:eastAsia="en-US"/>
              </w:rPr>
            </w:pPr>
            <w:r w:rsidRPr="008845BF">
              <w:rPr>
                <w:color w:val="000000"/>
                <w:lang w:eastAsia="en-US"/>
              </w:rPr>
              <w:t xml:space="preserve">изменение сложившейся положительной судебной практики, в связи с изменением правовой </w:t>
            </w:r>
            <w:r w:rsidRPr="008845BF">
              <w:rPr>
                <w:color w:val="000000"/>
                <w:lang w:eastAsia="en-US"/>
              </w:rPr>
              <w:lastRenderedPageBreak/>
              <w:t>позиции Арбитражного суда Северо-Кавказского округа и Верховного Суда РФ;</w:t>
            </w:r>
          </w:p>
          <w:p w:rsidR="008845BF" w:rsidRPr="008845BF" w:rsidRDefault="008845BF" w:rsidP="00247FEF">
            <w:pPr>
              <w:numPr>
                <w:ilvl w:val="0"/>
                <w:numId w:val="54"/>
              </w:numPr>
              <w:tabs>
                <w:tab w:val="left" w:pos="993"/>
              </w:tabs>
              <w:spacing w:after="200"/>
              <w:ind w:left="0" w:firstLine="709"/>
              <w:contextualSpacing/>
              <w:jc w:val="both"/>
              <w:rPr>
                <w:color w:val="000000"/>
                <w:lang w:eastAsia="en-US"/>
              </w:rPr>
            </w:pPr>
            <w:r w:rsidRPr="008845BF">
              <w:rPr>
                <w:color w:val="000000"/>
                <w:lang w:eastAsia="en-US"/>
              </w:rPr>
              <w:t>трудности, возникающие в ходе реализации судебных актов.</w:t>
            </w:r>
          </w:p>
          <w:p w:rsidR="008845BF" w:rsidRPr="008845BF" w:rsidRDefault="008845BF" w:rsidP="00247FEF">
            <w:pPr>
              <w:ind w:firstLine="709"/>
              <w:jc w:val="both"/>
              <w:rPr>
                <w:color w:val="000000"/>
                <w:lang w:eastAsia="en-US"/>
              </w:rPr>
            </w:pPr>
            <w:r w:rsidRPr="008845BF">
              <w:rPr>
                <w:color w:val="000000"/>
                <w:lang w:eastAsia="en-US"/>
              </w:rPr>
              <w:t xml:space="preserve">Эти недостатки могут оказать воздействие на способность Общества обеспечивать защиту прав и интересов, и, как следствие, стабильно осуществлять операционную деятельность. </w:t>
            </w:r>
          </w:p>
          <w:p w:rsidR="008845BF" w:rsidRPr="008845BF" w:rsidRDefault="008845BF" w:rsidP="00247FEF">
            <w:pPr>
              <w:jc w:val="both"/>
              <w:rPr>
                <w:lang w:eastAsia="en-US"/>
              </w:rPr>
            </w:pPr>
          </w:p>
        </w:tc>
        <w:tc>
          <w:tcPr>
            <w:tcW w:w="2694" w:type="dxa"/>
            <w:tcBorders>
              <w:top w:val="single" w:sz="4" w:space="0" w:color="auto"/>
              <w:left w:val="single" w:sz="4" w:space="0" w:color="auto"/>
              <w:bottom w:val="single" w:sz="4" w:space="0" w:color="auto"/>
              <w:right w:val="single" w:sz="4" w:space="0" w:color="auto"/>
            </w:tcBorders>
          </w:tcPr>
          <w:p w:rsidR="008845BF" w:rsidRPr="008845BF" w:rsidRDefault="008845BF" w:rsidP="00247FEF">
            <w:pPr>
              <w:jc w:val="both"/>
              <w:rPr>
                <w:color w:val="000000"/>
                <w:lang w:eastAsia="en-US"/>
              </w:rPr>
            </w:pPr>
            <w:r w:rsidRPr="008845BF">
              <w:rPr>
                <w:color w:val="000000"/>
                <w:lang w:eastAsia="en-US"/>
              </w:rPr>
              <w:lastRenderedPageBreak/>
              <w:t xml:space="preserve">С целью сокращения вероятности реализации рисков, связанных с исковой работой, проводятся следующие мероприятия: </w:t>
            </w:r>
          </w:p>
          <w:p w:rsidR="008845BF" w:rsidRPr="008845BF" w:rsidRDefault="008845BF" w:rsidP="00247FEF">
            <w:pPr>
              <w:jc w:val="both"/>
              <w:rPr>
                <w:color w:val="000000"/>
                <w:lang w:eastAsia="en-US"/>
              </w:rPr>
            </w:pPr>
            <w:r w:rsidRPr="008845BF">
              <w:rPr>
                <w:color w:val="000000"/>
                <w:lang w:eastAsia="en-US"/>
              </w:rPr>
              <w:t>- кураторами договоров проводится мониторинг сроков исполнения обязательств со стороны контрагента;</w:t>
            </w:r>
          </w:p>
          <w:p w:rsidR="008845BF" w:rsidRPr="008845BF" w:rsidRDefault="008845BF" w:rsidP="00247FEF">
            <w:pPr>
              <w:jc w:val="both"/>
              <w:rPr>
                <w:color w:val="000000"/>
                <w:lang w:eastAsia="en-US"/>
              </w:rPr>
            </w:pPr>
            <w:r w:rsidRPr="008845BF">
              <w:rPr>
                <w:color w:val="000000"/>
                <w:lang w:eastAsia="en-US"/>
              </w:rPr>
              <w:t>- для разрешения вопросов  в досудебном порядке ведется претензионная работа (проведение переговоров);</w:t>
            </w:r>
            <w:r w:rsidRPr="008845BF">
              <w:rPr>
                <w:color w:val="000000"/>
                <w:lang w:eastAsia="en-US"/>
              </w:rPr>
              <w:br/>
              <w:t xml:space="preserve">- мониторинг нормативно-правовых актов, регламентирующих проведение судебных процессов, представителями Общества в вышестоящих судебных инстанциях; </w:t>
            </w:r>
            <w:r w:rsidRPr="008845BF">
              <w:rPr>
                <w:color w:val="000000"/>
                <w:lang w:eastAsia="en-US"/>
              </w:rPr>
              <w:br/>
            </w:r>
            <w:r w:rsidRPr="008845BF">
              <w:rPr>
                <w:color w:val="000000"/>
                <w:lang w:eastAsia="en-US"/>
              </w:rPr>
              <w:lastRenderedPageBreak/>
              <w:t>- совершаются все необходимые процессуальные действия, направленные на оставление в силе судебных актов, принятых в пользу Общества, а также оспариваются судебные акты, принятые не в пользу Общества.</w:t>
            </w:r>
          </w:p>
          <w:p w:rsidR="008845BF" w:rsidRPr="008845BF" w:rsidRDefault="008845BF" w:rsidP="00247FEF">
            <w:pPr>
              <w:jc w:val="both"/>
              <w:rPr>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b/>
                <w:noProof/>
                <w:sz w:val="28"/>
                <w:szCs w:val="28"/>
                <w:lang w:eastAsia="en-US"/>
              </w:rPr>
            </w:pPr>
            <w:r w:rsidRPr="008845BF">
              <w:rPr>
                <w:noProof/>
              </w:rPr>
              <w:lastRenderedPageBreak/>
              <mc:AlternateContent>
                <mc:Choice Requires="wps">
                  <w:drawing>
                    <wp:anchor distT="0" distB="0" distL="114300" distR="114300" simplePos="0" relativeHeight="251721728" behindDoc="0" locked="0" layoutInCell="1" allowOverlap="1" wp14:anchorId="16D01439" wp14:editId="47A49E95">
                      <wp:simplePos x="0" y="0"/>
                      <wp:positionH relativeFrom="column">
                        <wp:posOffset>434975</wp:posOffset>
                      </wp:positionH>
                      <wp:positionV relativeFrom="paragraph">
                        <wp:posOffset>147320</wp:posOffset>
                      </wp:positionV>
                      <wp:extent cx="71755" cy="179705"/>
                      <wp:effectExtent l="19050" t="0" r="42545" b="29845"/>
                      <wp:wrapNone/>
                      <wp:docPr id="15" name="Стрелка вниз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15" o:spid="_x0000_s1026" type="#_x0000_t67" style="position:absolute;margin-left:34.25pt;margin-top:11.6pt;width:5.65pt;height:14.1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20704" behindDoc="0" locked="0" layoutInCell="1" allowOverlap="1" wp14:anchorId="116485BC" wp14:editId="586B3B56">
                      <wp:simplePos x="0" y="0"/>
                      <wp:positionH relativeFrom="column">
                        <wp:posOffset>26035</wp:posOffset>
                      </wp:positionH>
                      <wp:positionV relativeFrom="paragraph">
                        <wp:posOffset>83185</wp:posOffset>
                      </wp:positionV>
                      <wp:extent cx="270510" cy="278130"/>
                      <wp:effectExtent l="0" t="0" r="0" b="7620"/>
                      <wp:wrapNone/>
                      <wp:docPr id="63" name="Овал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63" o:spid="_x0000_s1026" style="position:absolute;margin-left:2.05pt;margin-top:6.55pt;width:21.3pt;height:21.9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" fillcolor="#00b050" stroked="f" strokeweight="2pt">
                      <v:path arrowok="t"/>
                    </v:oval>
                  </w:pict>
                </mc:Fallback>
              </mc:AlternateContent>
            </w:r>
          </w:p>
        </w:tc>
      </w:tr>
      <w:tr w:rsidR="008845BF" w:rsidRPr="008845BF" w:rsidTr="008845BF">
        <w:tc>
          <w:tcPr>
            <w:tcW w:w="561"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lang w:eastAsia="en-US"/>
              </w:rPr>
            </w:pPr>
            <w:r w:rsidRPr="008845BF">
              <w:rPr>
                <w:lang w:eastAsia="en-US"/>
              </w:rPr>
              <w:lastRenderedPageBreak/>
              <w:t>12</w:t>
            </w:r>
          </w:p>
        </w:tc>
        <w:tc>
          <w:tcPr>
            <w:tcW w:w="1957"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spacing w:before="100" w:beforeAutospacing="1" w:after="100" w:afterAutospacing="1"/>
              <w:rPr>
                <w:lang w:eastAsia="en-US"/>
              </w:rPr>
            </w:pPr>
            <w:r w:rsidRPr="008845BF">
              <w:rPr>
                <w:lang w:eastAsia="en-US"/>
              </w:rPr>
              <w:t>Риски, связанные с неправомерными действия работников Общества и третьих лиц в отношении активов Общества</w:t>
            </w:r>
          </w:p>
        </w:tc>
        <w:tc>
          <w:tcPr>
            <w:tcW w:w="3118"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color w:val="000000"/>
                <w:lang w:eastAsia="en-US"/>
              </w:rPr>
            </w:pPr>
            <w:r w:rsidRPr="008845BF">
              <w:rPr>
                <w:color w:val="000000"/>
                <w:lang w:eastAsia="en-US"/>
              </w:rPr>
              <w:t>Создание внешних и внутренних угроз для интересов Общества, в результате неправомерных действий работников Общества и третьих лиц в отношении активов Общества, причинения ущерба в результате нецелевого, неэффективного использования ресурсов.</w:t>
            </w:r>
          </w:p>
        </w:tc>
        <w:tc>
          <w:tcPr>
            <w:tcW w:w="2694"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color w:val="000000"/>
                <w:lang w:eastAsia="en-US"/>
              </w:rPr>
            </w:pPr>
            <w:r w:rsidRPr="008845BF">
              <w:rPr>
                <w:color w:val="000000"/>
                <w:lang w:eastAsia="en-US"/>
              </w:rPr>
              <w:t>Службой безопасности Общества, осуществляются мероприятия по выявлению неправомерных действий, со стороны работников Общества и третьих лиц, путем сбора, анализа и оценки оперативной информации, выработки мер по предупреждению и пресечению возможных внутренних и внешних угроз экономической безопасности и посредством участия в специальных (служебных) расследованиях по фактам злоупотреблений (мошенничества), причинения ущерба.</w:t>
            </w:r>
          </w:p>
        </w:tc>
        <w:tc>
          <w:tcPr>
            <w:tcW w:w="1276" w:type="dxa"/>
            <w:tcBorders>
              <w:top w:val="single" w:sz="4" w:space="0" w:color="auto"/>
              <w:left w:val="single" w:sz="4" w:space="0" w:color="auto"/>
              <w:bottom w:val="single" w:sz="4" w:space="0" w:color="auto"/>
              <w:right w:val="single" w:sz="4" w:space="0" w:color="auto"/>
            </w:tcBorders>
            <w:hideMark/>
          </w:tcPr>
          <w:p w:rsidR="008845BF" w:rsidRPr="008845BF" w:rsidRDefault="008845BF" w:rsidP="00247FEF">
            <w:pPr>
              <w:jc w:val="both"/>
              <w:rPr>
                <w:b/>
                <w:noProof/>
                <w:sz w:val="28"/>
                <w:szCs w:val="28"/>
                <w:lang w:eastAsia="en-US"/>
              </w:rPr>
            </w:pPr>
            <w:r w:rsidRPr="008845BF">
              <w:rPr>
                <w:noProof/>
              </w:rPr>
              <mc:AlternateContent>
                <mc:Choice Requires="wps">
                  <w:drawing>
                    <wp:anchor distT="0" distB="0" distL="114300" distR="114300" simplePos="0" relativeHeight="251723776" behindDoc="0" locked="0" layoutInCell="1" allowOverlap="1" wp14:anchorId="1F6A85CF" wp14:editId="549C1271">
                      <wp:simplePos x="0" y="0"/>
                      <wp:positionH relativeFrom="column">
                        <wp:posOffset>463550</wp:posOffset>
                      </wp:positionH>
                      <wp:positionV relativeFrom="paragraph">
                        <wp:posOffset>219710</wp:posOffset>
                      </wp:positionV>
                      <wp:extent cx="71755" cy="179705"/>
                      <wp:effectExtent l="19050" t="0" r="42545" b="29845"/>
                      <wp:wrapNone/>
                      <wp:docPr id="83" name="Стрелка вниз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755" cy="17970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Стрелка вниз 83" o:spid="_x0000_s1026" type="#_x0000_t67" style="position:absolute;margin-left:36.5pt;margin-top:17.3pt;width:5.65pt;height:14.1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" adj="17288" fillcolor="#4f81bd" strokecolor="#385d8a" strokeweight="2pt">
                      <v:path arrowok="t"/>
                    </v:shape>
                  </w:pict>
                </mc:Fallback>
              </mc:AlternateContent>
            </w:r>
            <w:r w:rsidRPr="008845BF">
              <w:rPr>
                <w:noProof/>
              </w:rPr>
              <mc:AlternateContent>
                <mc:Choice Requires="wps">
                  <w:drawing>
                    <wp:anchor distT="0" distB="0" distL="114300" distR="114300" simplePos="0" relativeHeight="251722752" behindDoc="0" locked="0" layoutInCell="1" allowOverlap="1" wp14:anchorId="027C5464" wp14:editId="76BE43E9">
                      <wp:simplePos x="0" y="0"/>
                      <wp:positionH relativeFrom="column">
                        <wp:posOffset>6985</wp:posOffset>
                      </wp:positionH>
                      <wp:positionV relativeFrom="paragraph">
                        <wp:posOffset>123825</wp:posOffset>
                      </wp:positionV>
                      <wp:extent cx="270510" cy="278130"/>
                      <wp:effectExtent l="0" t="0" r="0" b="7620"/>
                      <wp:wrapNone/>
                      <wp:docPr id="82" name="Овал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0510" cy="278130"/>
                              </a:xfrm>
                              <a:prstGeom prst="ellipse">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82" o:spid="_x0000_s1026" style="position:absolute;margin-left:.55pt;margin-top:9.75pt;width:21.3pt;height:21.9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" fillcolor="#00b050" stroked="f" strokeweight="2pt">
                      <v:path arrowok="t"/>
                    </v:oval>
                  </w:pict>
                </mc:Fallback>
              </mc:AlternateContent>
            </w:r>
          </w:p>
        </w:tc>
      </w:tr>
    </w:tbl>
    <w:p w:rsidR="008845BF" w:rsidRPr="008845BF" w:rsidRDefault="008845BF" w:rsidP="008845BF">
      <w:pPr>
        <w:ind w:firstLine="709"/>
        <w:jc w:val="both"/>
        <w:rPr>
          <w:b/>
          <w:color w:val="000000"/>
          <w:lang w:eastAsia="en-US"/>
        </w:rPr>
      </w:pPr>
    </w:p>
    <w:p w:rsidR="008845BF" w:rsidRPr="008845BF" w:rsidRDefault="008845BF" w:rsidP="008845BF">
      <w:pPr>
        <w:jc w:val="center"/>
        <w:rPr>
          <w:b/>
          <w:color w:val="000000"/>
          <w:lang w:eastAsia="en-US"/>
        </w:rPr>
      </w:pPr>
      <w:r w:rsidRPr="008845BF">
        <w:rPr>
          <w:b/>
          <w:color w:val="000000"/>
          <w:lang w:eastAsia="en-US"/>
        </w:rPr>
        <w:t>Риски, связанные с возможной ответственностью Общества по долгам третьих лиц</w:t>
      </w:r>
    </w:p>
    <w:p w:rsidR="008845BF" w:rsidRPr="008845BF" w:rsidRDefault="008845BF" w:rsidP="008845BF">
      <w:pPr>
        <w:ind w:firstLine="709"/>
        <w:jc w:val="both"/>
        <w:rPr>
          <w:color w:val="000000"/>
          <w:lang w:eastAsia="en-US"/>
        </w:rPr>
      </w:pPr>
      <w:r w:rsidRPr="008845BF">
        <w:rPr>
          <w:color w:val="000000"/>
          <w:lang w:eastAsia="en-US"/>
        </w:rPr>
        <w:t>В настоящий момент Общество не несет ответственности по долгам третьих лиц.</w:t>
      </w:r>
    </w:p>
    <w:p w:rsidR="008845BF" w:rsidRPr="008845BF" w:rsidRDefault="008845BF" w:rsidP="008845BF">
      <w:pPr>
        <w:ind w:firstLine="709"/>
        <w:jc w:val="both"/>
        <w:rPr>
          <w:color w:val="000000"/>
          <w:lang w:eastAsia="en-US"/>
        </w:rPr>
      </w:pPr>
      <w:r w:rsidRPr="008845BF">
        <w:rPr>
          <w:color w:val="000000"/>
          <w:lang w:eastAsia="en-US"/>
        </w:rPr>
        <w:t>Риски, связанные с возможной ответственностью общества по долгам третьих лиц, оцениваются эмитентом как незначительные.</w:t>
      </w:r>
    </w:p>
    <w:p w:rsidR="008845BF" w:rsidRPr="008845BF" w:rsidRDefault="008845BF" w:rsidP="008845BF">
      <w:pPr>
        <w:tabs>
          <w:tab w:val="left" w:pos="1276"/>
        </w:tabs>
        <w:jc w:val="center"/>
        <w:rPr>
          <w:rFonts w:eastAsia="Calibri"/>
          <w:b/>
          <w:szCs w:val="28"/>
          <w:highlight w:val="yellow"/>
          <w:lang w:eastAsia="en-US"/>
        </w:rPr>
      </w:pPr>
    </w:p>
    <w:p w:rsidR="008845BF" w:rsidRPr="008845BF" w:rsidRDefault="008845BF" w:rsidP="008845BF">
      <w:pPr>
        <w:tabs>
          <w:tab w:val="left" w:pos="1276"/>
        </w:tabs>
        <w:jc w:val="center"/>
        <w:rPr>
          <w:rFonts w:eastAsia="Calibri"/>
          <w:b/>
          <w:szCs w:val="28"/>
          <w:lang w:eastAsia="en-US"/>
        </w:rPr>
      </w:pPr>
      <w:r w:rsidRPr="008845BF">
        <w:rPr>
          <w:rFonts w:eastAsia="Calibri"/>
          <w:b/>
          <w:szCs w:val="28"/>
          <w:lang w:eastAsia="en-US"/>
        </w:rPr>
        <w:lastRenderedPageBreak/>
        <w:t>Рисунок 4. Оценка значимости рисков</w:t>
      </w:r>
    </w:p>
    <w:p w:rsidR="008845BF" w:rsidRPr="008845BF" w:rsidRDefault="008845BF" w:rsidP="008845BF">
      <w:pPr>
        <w:tabs>
          <w:tab w:val="left" w:pos="1276"/>
        </w:tabs>
        <w:jc w:val="center"/>
        <w:rPr>
          <w:rFonts w:eastAsia="Calibri"/>
          <w:b/>
          <w:szCs w:val="28"/>
          <w:lang w:eastAsia="en-US"/>
        </w:rPr>
      </w:pPr>
    </w:p>
    <w:p w:rsidR="008845BF" w:rsidRPr="008845BF" w:rsidRDefault="008845BF" w:rsidP="008845BF">
      <w:pPr>
        <w:tabs>
          <w:tab w:val="left" w:pos="993"/>
        </w:tabs>
        <w:spacing w:after="200" w:line="276" w:lineRule="auto"/>
        <w:ind w:left="-1134"/>
        <w:contextualSpacing/>
        <w:jc w:val="center"/>
        <w:rPr>
          <w:rFonts w:eastAsia="Calibri"/>
          <w:b/>
          <w:lang w:eastAsia="en-US"/>
        </w:rPr>
      </w:pPr>
      <w:r w:rsidRPr="008845BF">
        <w:rPr>
          <w:rFonts w:eastAsia="Calibri"/>
          <w:b/>
          <w:noProof/>
        </w:rPr>
        <w:drawing>
          <wp:inline distT="0" distB="0" distL="0" distR="0" wp14:anchorId="5B9756D0" wp14:editId="57EA493F">
            <wp:extent cx="6828155" cy="3975735"/>
            <wp:effectExtent l="0" t="0" r="0" b="5715"/>
            <wp:docPr id="70"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828155" cy="3975735"/>
                    </a:xfrm>
                    <a:prstGeom prst="rect">
                      <a:avLst/>
                    </a:prstGeom>
                    <a:noFill/>
                    <a:ln>
                      <a:noFill/>
                    </a:ln>
                  </pic:spPr>
                </pic:pic>
              </a:graphicData>
            </a:graphic>
          </wp:inline>
        </w:drawing>
      </w:r>
    </w:p>
    <w:p w:rsidR="00B416B3" w:rsidRDefault="00B416B3" w:rsidP="008845BF">
      <w:pPr>
        <w:tabs>
          <w:tab w:val="left" w:pos="993"/>
        </w:tabs>
        <w:spacing w:after="200" w:line="276" w:lineRule="auto"/>
        <w:contextualSpacing/>
        <w:jc w:val="both"/>
        <w:rPr>
          <w:rFonts w:eastAsiaTheme="minorHAnsi"/>
          <w:lang w:eastAsia="en-US"/>
        </w:rPr>
      </w:pPr>
    </w:p>
    <w:p w:rsidR="00B416B3" w:rsidRPr="000019BC" w:rsidRDefault="00B416B3" w:rsidP="00B416B3">
      <w:pPr>
        <w:jc w:val="center"/>
        <w:rPr>
          <w:b/>
        </w:rPr>
      </w:pPr>
      <w:r w:rsidRPr="000019BC">
        <w:rPr>
          <w:b/>
        </w:rPr>
        <w:t xml:space="preserve">1.5.  Информационные технологии и коммуникации </w:t>
      </w:r>
    </w:p>
    <w:p w:rsidR="00B416B3" w:rsidRPr="00844729" w:rsidRDefault="00B416B3" w:rsidP="00B416B3">
      <w:pPr>
        <w:jc w:val="center"/>
        <w:rPr>
          <w:sz w:val="28"/>
        </w:rPr>
      </w:pPr>
    </w:p>
    <w:p w:rsidR="00B416B3" w:rsidRPr="00844729" w:rsidRDefault="007519F3" w:rsidP="00B416B3">
      <w:pPr>
        <w:ind w:firstLine="720"/>
        <w:jc w:val="both"/>
        <w:rPr>
          <w:szCs w:val="20"/>
        </w:rPr>
      </w:pPr>
      <w:r>
        <w:rPr>
          <w:szCs w:val="20"/>
        </w:rPr>
        <w:t xml:space="preserve">По состоянию на 01.01.2015 </w:t>
      </w:r>
      <w:r w:rsidR="00B416B3" w:rsidRPr="00844729">
        <w:rPr>
          <w:szCs w:val="20"/>
        </w:rPr>
        <w:t xml:space="preserve">г. развитие информационных технологий в ОАО «Каббалкэнерго» можно охарактеризовать как </w:t>
      </w:r>
      <w:r w:rsidR="00B416B3" w:rsidRPr="00844729">
        <w:rPr>
          <w:i/>
          <w:szCs w:val="20"/>
        </w:rPr>
        <w:t>выше среднего уровня</w:t>
      </w:r>
      <w:r w:rsidR="00B416B3" w:rsidRPr="00844729">
        <w:rPr>
          <w:szCs w:val="20"/>
        </w:rPr>
        <w:t>. Общество в энергосбытовой деятельности использует прогрессивные аппаратные и программные средства.</w:t>
      </w:r>
    </w:p>
    <w:p w:rsidR="00B416B3" w:rsidRPr="00844729" w:rsidRDefault="00B416B3" w:rsidP="00B416B3">
      <w:pPr>
        <w:ind w:firstLine="720"/>
        <w:jc w:val="both"/>
        <w:rPr>
          <w:szCs w:val="20"/>
        </w:rPr>
      </w:pPr>
      <w:r w:rsidRPr="00844729">
        <w:rPr>
          <w:szCs w:val="20"/>
        </w:rPr>
        <w:t xml:space="preserve">В состав </w:t>
      </w:r>
      <w:r w:rsidRPr="00844729">
        <w:rPr>
          <w:szCs w:val="20"/>
          <w:lang w:val="en-US"/>
        </w:rPr>
        <w:t>IT</w:t>
      </w:r>
      <w:r w:rsidRPr="00844729">
        <w:rPr>
          <w:szCs w:val="20"/>
        </w:rPr>
        <w:t xml:space="preserve">-инфраструктуры ОАО «Каббалкэнерго» входит более 300 единиц </w:t>
      </w:r>
      <w:r w:rsidR="007519F3">
        <w:rPr>
          <w:szCs w:val="20"/>
        </w:rPr>
        <w:t>персональных компьютеров</w:t>
      </w:r>
      <w:r w:rsidRPr="00844729">
        <w:rPr>
          <w:szCs w:val="20"/>
        </w:rPr>
        <w:t xml:space="preserve"> и оргтехники. Источником финансирования </w:t>
      </w:r>
      <w:r w:rsidRPr="00844729">
        <w:rPr>
          <w:szCs w:val="20"/>
          <w:lang w:val="en-US"/>
        </w:rPr>
        <w:t>IT</w:t>
      </w:r>
      <w:r w:rsidRPr="00844729">
        <w:rPr>
          <w:szCs w:val="20"/>
        </w:rPr>
        <w:t xml:space="preserve">-закупок является </w:t>
      </w:r>
      <w:r>
        <w:rPr>
          <w:szCs w:val="20"/>
        </w:rPr>
        <w:t>собственные средства -</w:t>
      </w:r>
      <w:r w:rsidR="0039048A">
        <w:rPr>
          <w:szCs w:val="20"/>
        </w:rPr>
        <w:t xml:space="preserve"> </w:t>
      </w:r>
      <w:r w:rsidRPr="00844729">
        <w:rPr>
          <w:szCs w:val="20"/>
        </w:rPr>
        <w:t>амортизация основных средств.</w:t>
      </w:r>
    </w:p>
    <w:p w:rsidR="00B416B3" w:rsidRPr="00844729" w:rsidRDefault="00B416B3" w:rsidP="00B416B3">
      <w:pPr>
        <w:ind w:firstLine="720"/>
        <w:jc w:val="both"/>
        <w:rPr>
          <w:szCs w:val="20"/>
        </w:rPr>
      </w:pPr>
      <w:r w:rsidRPr="00844729">
        <w:rPr>
          <w:szCs w:val="20"/>
        </w:rPr>
        <w:t>Отдел информационных технологий ОАО «Каббалкэнерго» обслуживает парк компьютерной техники и офисного оборудования, расположенных как в исполнительном аппарате  (г. Нальчик), так и в районных энергосбытовых отделениях. Общество оснащено вычислительной и оргтехникой в полном объеме и на первый план выходит модернизация оборудования. Это включает в себя замену морально устаревших персональных компьютеров, периферийного оборудования, серверов.</w:t>
      </w:r>
    </w:p>
    <w:p w:rsidR="00B416B3" w:rsidRPr="00844729" w:rsidRDefault="00B416B3" w:rsidP="00B416B3">
      <w:pPr>
        <w:ind w:firstLine="720"/>
        <w:jc w:val="both"/>
        <w:rPr>
          <w:szCs w:val="20"/>
        </w:rPr>
      </w:pPr>
      <w:r w:rsidRPr="00844729">
        <w:rPr>
          <w:szCs w:val="20"/>
        </w:rPr>
        <w:t>Серверная часть ИТ инфраструктуры ОАО «Каббалкэнерго» состоит из следующих серверов:</w:t>
      </w:r>
    </w:p>
    <w:p w:rsidR="00B416B3" w:rsidRPr="00844729" w:rsidRDefault="00B416B3" w:rsidP="00AE0E97">
      <w:pPr>
        <w:numPr>
          <w:ilvl w:val="0"/>
          <w:numId w:val="10"/>
        </w:numPr>
        <w:rPr>
          <w:szCs w:val="20"/>
        </w:rPr>
      </w:pPr>
      <w:r>
        <w:rPr>
          <w:szCs w:val="20"/>
        </w:rPr>
        <w:t>с</w:t>
      </w:r>
      <w:r w:rsidRPr="00844729">
        <w:rPr>
          <w:szCs w:val="20"/>
        </w:rPr>
        <w:t>ервер терминалов районных отделений для 1С Предприятие v.8.2, FTP-сервер, рабочие папки обмена данными сотрудников и  серверная  часть «</w:t>
      </w:r>
      <w:r w:rsidRPr="00844729">
        <w:rPr>
          <w:szCs w:val="20"/>
          <w:lang w:val="en-US"/>
        </w:rPr>
        <w:t>Bopup</w:t>
      </w:r>
      <w:r w:rsidRPr="00844729">
        <w:rPr>
          <w:szCs w:val="20"/>
        </w:rPr>
        <w:t xml:space="preserve"> </w:t>
      </w:r>
      <w:r w:rsidRPr="00844729">
        <w:rPr>
          <w:szCs w:val="20"/>
          <w:lang w:val="en-US"/>
        </w:rPr>
        <w:t>Messenger</w:t>
      </w:r>
      <w:r w:rsidRPr="00844729">
        <w:rPr>
          <w:szCs w:val="20"/>
        </w:rPr>
        <w:t>»;</w:t>
      </w:r>
    </w:p>
    <w:p w:rsidR="00B416B3" w:rsidRPr="00844729" w:rsidRDefault="00B416B3" w:rsidP="00AE0E97">
      <w:pPr>
        <w:numPr>
          <w:ilvl w:val="0"/>
          <w:numId w:val="10"/>
        </w:numPr>
        <w:rPr>
          <w:szCs w:val="20"/>
        </w:rPr>
      </w:pPr>
      <w:r>
        <w:rPr>
          <w:szCs w:val="20"/>
        </w:rPr>
        <w:t>п</w:t>
      </w:r>
      <w:r w:rsidRPr="00844729">
        <w:rPr>
          <w:szCs w:val="20"/>
        </w:rPr>
        <w:t>рокси-сервер для провайдера «ЮТК-Телеком», Почтовый сервер;</w:t>
      </w:r>
    </w:p>
    <w:p w:rsidR="00B416B3" w:rsidRPr="00844729" w:rsidRDefault="00B416B3" w:rsidP="00AE0E97">
      <w:pPr>
        <w:numPr>
          <w:ilvl w:val="0"/>
          <w:numId w:val="10"/>
        </w:numPr>
        <w:rPr>
          <w:szCs w:val="20"/>
        </w:rPr>
      </w:pPr>
      <w:r>
        <w:rPr>
          <w:szCs w:val="20"/>
        </w:rPr>
        <w:t>п</w:t>
      </w:r>
      <w:r w:rsidRPr="00844729">
        <w:rPr>
          <w:szCs w:val="20"/>
        </w:rPr>
        <w:t>рокси-сервер для провайдера «Мегафон», Почтовый сервер, Сервер администрирования Антивируса Касперского;</w:t>
      </w:r>
    </w:p>
    <w:p w:rsidR="00B416B3" w:rsidRPr="00844729" w:rsidRDefault="00B416B3" w:rsidP="00AE0E97">
      <w:pPr>
        <w:numPr>
          <w:ilvl w:val="0"/>
          <w:numId w:val="10"/>
        </w:numPr>
        <w:rPr>
          <w:szCs w:val="20"/>
        </w:rPr>
      </w:pPr>
      <w:r>
        <w:rPr>
          <w:szCs w:val="20"/>
        </w:rPr>
        <w:t>с</w:t>
      </w:r>
      <w:r w:rsidRPr="00844729">
        <w:rPr>
          <w:szCs w:val="20"/>
        </w:rPr>
        <w:t xml:space="preserve">ервер для бизнес-приложения – «1С-Предприятие 8.2» (Бухгалтерия 2.0)  и </w:t>
      </w:r>
      <w:r w:rsidRPr="00844729">
        <w:rPr>
          <w:szCs w:val="20"/>
          <w:lang w:val="en-US"/>
        </w:rPr>
        <w:t>MS</w:t>
      </w:r>
      <w:r w:rsidRPr="00844729">
        <w:rPr>
          <w:szCs w:val="20"/>
        </w:rPr>
        <w:t xml:space="preserve"> SQL </w:t>
      </w:r>
      <w:r w:rsidRPr="00844729">
        <w:rPr>
          <w:szCs w:val="20"/>
          <w:lang w:val="en-US"/>
        </w:rPr>
        <w:t>Server</w:t>
      </w:r>
      <w:r w:rsidRPr="00844729">
        <w:rPr>
          <w:szCs w:val="20"/>
        </w:rPr>
        <w:t xml:space="preserve">  для 1С Предприятие v.8.2;</w:t>
      </w:r>
    </w:p>
    <w:p w:rsidR="00B416B3" w:rsidRPr="00844729" w:rsidRDefault="00B416B3" w:rsidP="00AE0E97">
      <w:pPr>
        <w:numPr>
          <w:ilvl w:val="0"/>
          <w:numId w:val="10"/>
        </w:numPr>
        <w:rPr>
          <w:szCs w:val="20"/>
        </w:rPr>
      </w:pPr>
      <w:r>
        <w:rPr>
          <w:szCs w:val="20"/>
        </w:rPr>
        <w:t>с</w:t>
      </w:r>
      <w:r w:rsidRPr="00844729">
        <w:rPr>
          <w:szCs w:val="20"/>
        </w:rPr>
        <w:t xml:space="preserve">ервер СУБД </w:t>
      </w:r>
      <w:r w:rsidRPr="00844729">
        <w:rPr>
          <w:szCs w:val="20"/>
          <w:lang w:val="en-US"/>
        </w:rPr>
        <w:t>MS</w:t>
      </w:r>
      <w:r w:rsidRPr="00844729">
        <w:rPr>
          <w:szCs w:val="20"/>
        </w:rPr>
        <w:t xml:space="preserve"> </w:t>
      </w:r>
      <w:r w:rsidRPr="00844729">
        <w:rPr>
          <w:szCs w:val="20"/>
          <w:lang w:val="en-US"/>
        </w:rPr>
        <w:t>SQL</w:t>
      </w:r>
      <w:r w:rsidRPr="00844729">
        <w:rPr>
          <w:szCs w:val="20"/>
        </w:rPr>
        <w:t xml:space="preserve"> </w:t>
      </w:r>
      <w:r w:rsidRPr="00844729">
        <w:rPr>
          <w:szCs w:val="20"/>
          <w:lang w:val="en-US"/>
        </w:rPr>
        <w:t>Server</w:t>
      </w:r>
      <w:r w:rsidRPr="00844729">
        <w:rPr>
          <w:szCs w:val="20"/>
        </w:rPr>
        <w:t xml:space="preserve"> с РБС юридически</w:t>
      </w:r>
      <w:r w:rsidR="00FA5A68">
        <w:rPr>
          <w:szCs w:val="20"/>
        </w:rPr>
        <w:t>х лиц и РБС  физических лиц (СТЕ</w:t>
      </w:r>
      <w:r w:rsidRPr="00844729">
        <w:rPr>
          <w:szCs w:val="20"/>
        </w:rPr>
        <w:t>К-Энерго);</w:t>
      </w:r>
    </w:p>
    <w:p w:rsidR="00B416B3" w:rsidRPr="00844729" w:rsidRDefault="00B416B3" w:rsidP="00AE0E97">
      <w:pPr>
        <w:numPr>
          <w:ilvl w:val="0"/>
          <w:numId w:val="10"/>
        </w:numPr>
        <w:rPr>
          <w:szCs w:val="20"/>
        </w:rPr>
      </w:pPr>
      <w:r>
        <w:rPr>
          <w:szCs w:val="20"/>
        </w:rPr>
        <w:lastRenderedPageBreak/>
        <w:t>с</w:t>
      </w:r>
      <w:r w:rsidRPr="00844729">
        <w:rPr>
          <w:szCs w:val="20"/>
        </w:rPr>
        <w:t xml:space="preserve">ервер для бизнес-приложения – «1С-Предприятие 8.2» (Зарплата и кадры) с программно-аппаратным  комплексом системы контроля и разграничения доступа в сети;  </w:t>
      </w:r>
    </w:p>
    <w:p w:rsidR="00B416B3" w:rsidRPr="00844729" w:rsidRDefault="00B416B3" w:rsidP="00AE0E97">
      <w:pPr>
        <w:numPr>
          <w:ilvl w:val="0"/>
          <w:numId w:val="10"/>
        </w:numPr>
        <w:rPr>
          <w:szCs w:val="20"/>
        </w:rPr>
      </w:pPr>
      <w:r>
        <w:rPr>
          <w:szCs w:val="20"/>
        </w:rPr>
        <w:t>п</w:t>
      </w:r>
      <w:r w:rsidRPr="00844729">
        <w:rPr>
          <w:szCs w:val="20"/>
        </w:rPr>
        <w:t>рограммно-аппаратный многофункциональный комплекс сетевой защиты.</w:t>
      </w:r>
    </w:p>
    <w:p w:rsidR="00B416B3" w:rsidRPr="00844729" w:rsidRDefault="00B416B3" w:rsidP="00AE0E97">
      <w:pPr>
        <w:numPr>
          <w:ilvl w:val="0"/>
          <w:numId w:val="10"/>
        </w:numPr>
        <w:rPr>
          <w:szCs w:val="20"/>
        </w:rPr>
      </w:pPr>
      <w:r>
        <w:rPr>
          <w:szCs w:val="20"/>
        </w:rPr>
        <w:t>с</w:t>
      </w:r>
      <w:r w:rsidRPr="00844729">
        <w:rPr>
          <w:szCs w:val="20"/>
        </w:rPr>
        <w:t xml:space="preserve">ервер </w:t>
      </w:r>
      <w:r w:rsidRPr="00844729">
        <w:rPr>
          <w:szCs w:val="20"/>
          <w:lang w:val="en-US"/>
        </w:rPr>
        <w:t>IP-</w:t>
      </w:r>
      <w:r w:rsidRPr="00844729">
        <w:rPr>
          <w:szCs w:val="20"/>
        </w:rPr>
        <w:t>Телефонии.</w:t>
      </w:r>
    </w:p>
    <w:p w:rsidR="00B416B3" w:rsidRPr="00844729" w:rsidRDefault="00B416B3" w:rsidP="00B416B3">
      <w:pPr>
        <w:overflowPunct w:val="0"/>
        <w:autoSpaceDE w:val="0"/>
        <w:autoSpaceDN w:val="0"/>
        <w:adjustRightInd w:val="0"/>
        <w:ind w:firstLine="709"/>
        <w:jc w:val="both"/>
      </w:pPr>
      <w:r w:rsidRPr="00844729">
        <w:t xml:space="preserve">Надежность эксплуатации ИТ инфраструктуры на техническом уровне обеспечивается резервированием  оборудования, защитой от перебоев подачи  электроэнергии и  кондиционированием серверного помещения. Контроль параметров функционирования осуществляется системой </w:t>
      </w:r>
      <w:r>
        <w:t>«</w:t>
      </w:r>
      <w:r w:rsidRPr="00844729">
        <w:t>ECTOCONTROL</w:t>
      </w:r>
      <w:r>
        <w:t>»</w:t>
      </w:r>
      <w:r w:rsidRPr="00844729">
        <w:t xml:space="preserve"> «Безопасность» с </w:t>
      </w:r>
      <w:r w:rsidRPr="00844729">
        <w:rPr>
          <w:lang w:val="en-US"/>
        </w:rPr>
        <w:t>SMS</w:t>
      </w:r>
      <w:r w:rsidR="00396190">
        <w:t>-оповещением.</w:t>
      </w:r>
    </w:p>
    <w:p w:rsidR="00B416B3" w:rsidRPr="00844729" w:rsidRDefault="00B416B3" w:rsidP="00B416B3">
      <w:pPr>
        <w:overflowPunct w:val="0"/>
        <w:autoSpaceDE w:val="0"/>
        <w:autoSpaceDN w:val="0"/>
        <w:adjustRightInd w:val="0"/>
        <w:ind w:firstLine="709"/>
        <w:jc w:val="both"/>
      </w:pPr>
      <w:r w:rsidRPr="00844729">
        <w:t>Программным путем производится создание резервных копий разделов жестки</w:t>
      </w:r>
      <w:r w:rsidR="00FD6871">
        <w:t>х дисков серверов, архивирование</w:t>
      </w:r>
      <w:r w:rsidRPr="00844729">
        <w:t xml:space="preserve"> баз данных</w:t>
      </w:r>
      <w:r w:rsidR="00FD6871">
        <w:t>.</w:t>
      </w:r>
    </w:p>
    <w:p w:rsidR="00B416B3" w:rsidRPr="00844729" w:rsidRDefault="00B416B3" w:rsidP="00B416B3">
      <w:pPr>
        <w:overflowPunct w:val="0"/>
        <w:autoSpaceDE w:val="0"/>
        <w:autoSpaceDN w:val="0"/>
        <w:adjustRightInd w:val="0"/>
        <w:ind w:firstLine="709"/>
        <w:jc w:val="both"/>
      </w:pPr>
      <w:r w:rsidRPr="00844729">
        <w:t>Для защиты информации используются следующие программы:</w:t>
      </w:r>
    </w:p>
    <w:p w:rsidR="00B416B3" w:rsidRPr="00844729" w:rsidRDefault="00B416B3" w:rsidP="00230DF1">
      <w:pPr>
        <w:numPr>
          <w:ilvl w:val="0"/>
          <w:numId w:val="8"/>
        </w:numPr>
        <w:tabs>
          <w:tab w:val="left" w:pos="1701"/>
        </w:tabs>
        <w:overflowPunct w:val="0"/>
        <w:autoSpaceDE w:val="0"/>
        <w:autoSpaceDN w:val="0"/>
        <w:adjustRightInd w:val="0"/>
        <w:ind w:firstLine="709"/>
        <w:jc w:val="both"/>
        <w:rPr>
          <w:lang w:val="en-US"/>
        </w:rPr>
      </w:pPr>
      <w:r w:rsidRPr="00844729">
        <w:rPr>
          <w:vanish/>
          <w:color w:val="333333"/>
          <w:lang w:val="en-US"/>
        </w:rPr>
        <w:t>KASPERSKY TOTAL SECURITY</w:t>
      </w:r>
      <w:r w:rsidRPr="00844729">
        <w:rPr>
          <w:lang w:val="en-US"/>
        </w:rPr>
        <w:t xml:space="preserve">KASPERSKY TOTAL SECURITY - </w:t>
      </w:r>
      <w:r w:rsidRPr="00844729">
        <w:t>антивирус</w:t>
      </w:r>
      <w:r w:rsidRPr="00844729">
        <w:rPr>
          <w:lang w:val="en-US"/>
        </w:rPr>
        <w:t>;</w:t>
      </w:r>
    </w:p>
    <w:p w:rsidR="00B416B3" w:rsidRPr="00844729" w:rsidRDefault="00B416B3" w:rsidP="00230DF1">
      <w:pPr>
        <w:numPr>
          <w:ilvl w:val="0"/>
          <w:numId w:val="8"/>
        </w:numPr>
        <w:tabs>
          <w:tab w:val="left" w:pos="1701"/>
        </w:tabs>
        <w:overflowPunct w:val="0"/>
        <w:autoSpaceDE w:val="0"/>
        <w:autoSpaceDN w:val="0"/>
        <w:adjustRightInd w:val="0"/>
        <w:ind w:firstLine="709"/>
        <w:jc w:val="both"/>
      </w:pPr>
      <w:r w:rsidRPr="00844729">
        <w:rPr>
          <w:lang w:val="en-US"/>
        </w:rPr>
        <w:t>KERIO</w:t>
      </w:r>
      <w:r w:rsidRPr="00844729">
        <w:t xml:space="preserve">  </w:t>
      </w:r>
      <w:r w:rsidRPr="00844729">
        <w:rPr>
          <w:lang w:val="en-US"/>
        </w:rPr>
        <w:t>CONTROL</w:t>
      </w:r>
      <w:r w:rsidRPr="00844729">
        <w:t xml:space="preserve"> - межсетевой экран (файервол) и маршрутизатор, система обнаружения и предотвращения вторжений, антивирус и фильтр содержимого;</w:t>
      </w:r>
    </w:p>
    <w:p w:rsidR="00B416B3" w:rsidRPr="00844729" w:rsidRDefault="00B416B3" w:rsidP="00230DF1">
      <w:pPr>
        <w:numPr>
          <w:ilvl w:val="0"/>
          <w:numId w:val="8"/>
        </w:numPr>
        <w:tabs>
          <w:tab w:val="left" w:pos="1701"/>
        </w:tabs>
        <w:overflowPunct w:val="0"/>
        <w:autoSpaceDE w:val="0"/>
        <w:autoSpaceDN w:val="0"/>
        <w:adjustRightInd w:val="0"/>
        <w:ind w:firstLine="709"/>
        <w:jc w:val="both"/>
      </w:pPr>
      <w:r w:rsidRPr="00844729">
        <w:rPr>
          <w:color w:val="000000"/>
          <w:lang w:val="en-US"/>
        </w:rPr>
        <w:t>DIAMOND</w:t>
      </w:r>
      <w:r w:rsidRPr="00844729">
        <w:rPr>
          <w:color w:val="000000"/>
        </w:rPr>
        <w:t xml:space="preserve"> </w:t>
      </w:r>
      <w:r w:rsidRPr="00844729">
        <w:rPr>
          <w:color w:val="000000"/>
          <w:lang w:val="en-US"/>
        </w:rPr>
        <w:t>ACS</w:t>
      </w:r>
      <w:r w:rsidRPr="00844729">
        <w:rPr>
          <w:color w:val="000000"/>
        </w:rPr>
        <w:t xml:space="preserve"> и </w:t>
      </w:r>
      <w:r w:rsidRPr="00844729">
        <w:rPr>
          <w:color w:val="000000"/>
          <w:lang w:val="en-US"/>
        </w:rPr>
        <w:t>DIAMOND</w:t>
      </w:r>
      <w:r w:rsidRPr="00844729">
        <w:rPr>
          <w:color w:val="000000"/>
        </w:rPr>
        <w:t xml:space="preserve"> </w:t>
      </w:r>
      <w:r w:rsidRPr="00844729">
        <w:rPr>
          <w:color w:val="000000"/>
          <w:lang w:val="en-US"/>
        </w:rPr>
        <w:t>VPN</w:t>
      </w:r>
      <w:r w:rsidRPr="00844729">
        <w:rPr>
          <w:color w:val="000000"/>
        </w:rPr>
        <w:t xml:space="preserve"> – защита персональных данных.</w:t>
      </w:r>
    </w:p>
    <w:p w:rsidR="00B416B3" w:rsidRPr="00844729" w:rsidRDefault="00B416B3" w:rsidP="00B416B3">
      <w:pPr>
        <w:overflowPunct w:val="0"/>
        <w:autoSpaceDE w:val="0"/>
        <w:autoSpaceDN w:val="0"/>
        <w:adjustRightInd w:val="0"/>
        <w:ind w:firstLine="709"/>
        <w:jc w:val="both"/>
      </w:pPr>
      <w:r w:rsidRPr="00844729">
        <w:t xml:space="preserve">Обмен информацией с районными отделениями осуществляется по выделенным каналам связи с использованием </w:t>
      </w:r>
      <w:r w:rsidRPr="00844729">
        <w:rPr>
          <w:lang w:val="en-US"/>
        </w:rPr>
        <w:t>VPN</w:t>
      </w:r>
      <w:r w:rsidRPr="00844729">
        <w:t>-сети.</w:t>
      </w:r>
    </w:p>
    <w:p w:rsidR="00B416B3" w:rsidRPr="00844729" w:rsidRDefault="00B416B3" w:rsidP="00B416B3">
      <w:pPr>
        <w:ind w:firstLine="709"/>
        <w:jc w:val="both"/>
      </w:pPr>
      <w:r w:rsidRPr="00844729">
        <w:t>Надежность функционирования каналов связи обеспечивается их дублированием 2-мя провайдерами.</w:t>
      </w:r>
    </w:p>
    <w:p w:rsidR="00B416B3" w:rsidRPr="00844729" w:rsidRDefault="00B416B3" w:rsidP="00B416B3">
      <w:pPr>
        <w:ind w:firstLine="720"/>
        <w:jc w:val="both"/>
        <w:rPr>
          <w:szCs w:val="20"/>
        </w:rPr>
      </w:pPr>
      <w:r w:rsidRPr="00844729">
        <w:rPr>
          <w:szCs w:val="20"/>
        </w:rPr>
        <w:t>С 2014 года в ОАО «Каббалкэнерго» начата промышленная эксплуатация программного комплекса автоматизации энергосбытовой деятельности «С</w:t>
      </w:r>
      <w:r w:rsidR="00FA5A68">
        <w:rPr>
          <w:szCs w:val="20"/>
        </w:rPr>
        <w:t>ТЕК</w:t>
      </w:r>
      <w:r w:rsidRPr="00844729">
        <w:rPr>
          <w:szCs w:val="20"/>
        </w:rPr>
        <w:t>-Энерго». Работа с комплексом проходит планомерно, для чего проводятся консультации, методологические тренинги, поддерживается двусторонняя связь с сотрудниками энергосбытовых отделений.</w:t>
      </w:r>
    </w:p>
    <w:p w:rsidR="00B416B3" w:rsidRDefault="00B416B3" w:rsidP="00B416B3">
      <w:pPr>
        <w:ind w:firstLine="720"/>
        <w:jc w:val="both"/>
        <w:rPr>
          <w:szCs w:val="20"/>
        </w:rPr>
      </w:pPr>
      <w:r w:rsidRPr="00844729">
        <w:rPr>
          <w:szCs w:val="20"/>
        </w:rPr>
        <w:t xml:space="preserve">Сотрудники ОАО «Каббалкэнерго» в своей деятельности активно используют информационные каналы связи Интернет для обмена информацией с головным офисом, а также с подразделениями энергосбытовой отрасли по всей России. В число пользователей использующих данный вид услуг составляет 75 человек. </w:t>
      </w:r>
    </w:p>
    <w:p w:rsidR="00B416B3" w:rsidRPr="00844729" w:rsidRDefault="00B416B3" w:rsidP="00B416B3">
      <w:pPr>
        <w:ind w:firstLine="720"/>
        <w:jc w:val="both"/>
        <w:rPr>
          <w:szCs w:val="20"/>
        </w:rPr>
      </w:pPr>
      <w:r w:rsidRPr="00844729">
        <w:rPr>
          <w:szCs w:val="20"/>
        </w:rPr>
        <w:t xml:space="preserve">Специализированными средствами </w:t>
      </w:r>
      <w:r w:rsidRPr="00844729">
        <w:rPr>
          <w:szCs w:val="20"/>
          <w:lang w:val="en-US"/>
        </w:rPr>
        <w:t>Kerio</w:t>
      </w:r>
      <w:r w:rsidRPr="00844729">
        <w:rPr>
          <w:szCs w:val="20"/>
        </w:rPr>
        <w:t xml:space="preserve"> </w:t>
      </w:r>
      <w:r w:rsidRPr="00844729">
        <w:rPr>
          <w:szCs w:val="20"/>
          <w:lang w:val="en-US"/>
        </w:rPr>
        <w:t>Control</w:t>
      </w:r>
      <w:r w:rsidRPr="00844729">
        <w:rPr>
          <w:szCs w:val="20"/>
        </w:rPr>
        <w:t xml:space="preserve"> (Правила </w:t>
      </w:r>
      <w:r w:rsidRPr="00844729">
        <w:rPr>
          <w:szCs w:val="20"/>
          <w:lang w:val="en-US"/>
        </w:rPr>
        <w:t>URL</w:t>
      </w:r>
      <w:r w:rsidRPr="00844729">
        <w:rPr>
          <w:szCs w:val="20"/>
        </w:rPr>
        <w:t xml:space="preserve">, </w:t>
      </w:r>
      <w:r w:rsidRPr="00844729">
        <w:rPr>
          <w:szCs w:val="20"/>
          <w:lang w:val="en-US"/>
        </w:rPr>
        <w:t>WEB</w:t>
      </w:r>
      <w:r w:rsidRPr="00844729">
        <w:rPr>
          <w:szCs w:val="20"/>
        </w:rPr>
        <w:t>-фильтр) ведется контроль и фильтрация передаваемой информации, что значительно повысило эффективность использования данного сервиса в исполнительном аппарате  ОАО «Каббалкэнерго»</w:t>
      </w:r>
      <w:r>
        <w:rPr>
          <w:szCs w:val="20"/>
        </w:rPr>
        <w:t>,</w:t>
      </w:r>
      <w:r w:rsidRPr="00844729">
        <w:rPr>
          <w:szCs w:val="20"/>
        </w:rPr>
        <w:t xml:space="preserve"> а также это сводит к минимуму инсайдерские риски по утечке конфиденциальной информации. </w:t>
      </w:r>
    </w:p>
    <w:p w:rsidR="00B416B3" w:rsidRPr="00844729" w:rsidRDefault="00B416B3" w:rsidP="00B416B3">
      <w:pPr>
        <w:ind w:firstLine="720"/>
        <w:jc w:val="both"/>
        <w:rPr>
          <w:szCs w:val="20"/>
        </w:rPr>
      </w:pPr>
      <w:r w:rsidRPr="00844729">
        <w:rPr>
          <w:szCs w:val="20"/>
        </w:rPr>
        <w:t xml:space="preserve">Телекоммуникационная сеть ОАО «Каббалкэнерго» имеет развитую структуру, включающую в себя сеть VPN с использованием выделенных каналов связи с районными отделениями, каждое отделение имеет внутреннюю 100 мегабитную локальную сеть Ethernet, а в центральном офисе – 1 Гигабитную. Обмен информацией производится по FTP, удаленным подключением к рабочему столу, по электронной почте, и </w:t>
      </w:r>
      <w:r w:rsidR="00FD6871">
        <w:rPr>
          <w:szCs w:val="20"/>
        </w:rPr>
        <w:t xml:space="preserve">с использованием </w:t>
      </w:r>
      <w:r w:rsidRPr="00844729">
        <w:rPr>
          <w:szCs w:val="20"/>
        </w:rPr>
        <w:t>программ</w:t>
      </w:r>
      <w:r w:rsidR="00FD6871">
        <w:rPr>
          <w:szCs w:val="20"/>
        </w:rPr>
        <w:t>ы</w:t>
      </w:r>
      <w:r w:rsidRPr="00844729">
        <w:rPr>
          <w:szCs w:val="20"/>
        </w:rPr>
        <w:t>-клиент</w:t>
      </w:r>
      <w:r w:rsidR="00FD6871">
        <w:rPr>
          <w:szCs w:val="20"/>
        </w:rPr>
        <w:t>а</w:t>
      </w:r>
      <w:r w:rsidRPr="00844729">
        <w:rPr>
          <w:szCs w:val="20"/>
        </w:rPr>
        <w:t xml:space="preserve"> для обмена зашифрованными сообщениями и файлами. Тип обмена определяется видом информации, т.е. оперативная информация («С</w:t>
      </w:r>
      <w:r w:rsidR="00FA5A68">
        <w:rPr>
          <w:szCs w:val="20"/>
        </w:rPr>
        <w:t>ТЕК</w:t>
      </w:r>
      <w:r w:rsidRPr="00844729">
        <w:rPr>
          <w:szCs w:val="20"/>
        </w:rPr>
        <w:t>-Энерго</w:t>
      </w:r>
      <w:r>
        <w:rPr>
          <w:szCs w:val="20"/>
        </w:rPr>
        <w:t>»</w:t>
      </w:r>
      <w:r w:rsidRPr="00844729">
        <w:rPr>
          <w:szCs w:val="20"/>
        </w:rPr>
        <w:t>, «1С-Предприятие») осуществляется в интерактивном режиме посредством удаленного терминала с вводом данных районных отделений непосредственно на сервер центрального офиса, плановая и отчетная информация – по Bopup Messenger. Наряду с этим</w:t>
      </w:r>
      <w:r>
        <w:rPr>
          <w:szCs w:val="20"/>
        </w:rPr>
        <w:t>,</w:t>
      </w:r>
      <w:r w:rsidRPr="00844729">
        <w:rPr>
          <w:szCs w:val="20"/>
        </w:rPr>
        <w:t xml:space="preserve"> применяются средства для удаленного программного контроля, основанные на стандартных решениях </w:t>
      </w:r>
      <w:r w:rsidRPr="00844729">
        <w:rPr>
          <w:szCs w:val="20"/>
          <w:lang w:val="en-US"/>
        </w:rPr>
        <w:t>Microsoft</w:t>
      </w:r>
      <w:r w:rsidRPr="00844729">
        <w:rPr>
          <w:szCs w:val="20"/>
        </w:rPr>
        <w:t xml:space="preserve"> и специализированное лицензионное ПО </w:t>
      </w:r>
      <w:r w:rsidRPr="00844729">
        <w:rPr>
          <w:szCs w:val="20"/>
          <w:lang w:val="en-US"/>
        </w:rPr>
        <w:t>Radmin</w:t>
      </w:r>
      <w:r w:rsidRPr="00844729">
        <w:rPr>
          <w:szCs w:val="20"/>
        </w:rPr>
        <w:t xml:space="preserve"> разработки компании </w:t>
      </w:r>
      <w:r w:rsidRPr="00844729">
        <w:rPr>
          <w:szCs w:val="20"/>
          <w:lang w:val="en-US"/>
        </w:rPr>
        <w:t>Famatech</w:t>
      </w:r>
      <w:r w:rsidRPr="00844729">
        <w:rPr>
          <w:szCs w:val="20"/>
        </w:rPr>
        <w:t>.</w:t>
      </w:r>
    </w:p>
    <w:p w:rsidR="000019BC" w:rsidRPr="00247FEF" w:rsidRDefault="00B416B3" w:rsidP="00247FEF">
      <w:pPr>
        <w:ind w:firstLine="709"/>
        <w:jc w:val="both"/>
        <w:rPr>
          <w:szCs w:val="20"/>
        </w:rPr>
      </w:pPr>
      <w:r w:rsidRPr="00844729">
        <w:rPr>
          <w:szCs w:val="20"/>
        </w:rPr>
        <w:t xml:space="preserve">На сегодняшний момент, в целях информирования акционеров и потребителей о деятельности ОАО «Каббалкэнерго» имеется официальный Web-сайт ОАО «Каббалкэнерго». Адрес официального </w:t>
      </w:r>
      <w:r>
        <w:rPr>
          <w:szCs w:val="20"/>
          <w:lang w:val="en-US"/>
        </w:rPr>
        <w:t>w</w:t>
      </w:r>
      <w:r w:rsidRPr="00844729">
        <w:rPr>
          <w:szCs w:val="20"/>
        </w:rPr>
        <w:t xml:space="preserve">eb-сайта: </w:t>
      </w:r>
      <w:hyperlink r:id="rId21" w:history="1">
        <w:r w:rsidRPr="00844729">
          <w:rPr>
            <w:color w:val="0000FF"/>
            <w:szCs w:val="20"/>
            <w:u w:val="single"/>
          </w:rPr>
          <w:t>www.</w:t>
        </w:r>
        <w:r w:rsidRPr="00844729">
          <w:rPr>
            <w:color w:val="0000FF"/>
            <w:szCs w:val="20"/>
            <w:u w:val="single"/>
            <w:lang w:val="en-US"/>
          </w:rPr>
          <w:t>kabbalkenergo</w:t>
        </w:r>
        <w:r w:rsidRPr="00844729">
          <w:rPr>
            <w:color w:val="0000FF"/>
            <w:szCs w:val="20"/>
            <w:u w:val="single"/>
          </w:rPr>
          <w:t>.ru</w:t>
        </w:r>
      </w:hyperlink>
      <w:r w:rsidRPr="00844729">
        <w:rPr>
          <w:szCs w:val="20"/>
        </w:rPr>
        <w:t xml:space="preserve">. В разделе </w:t>
      </w:r>
      <w:r w:rsidRPr="00844729">
        <w:rPr>
          <w:szCs w:val="20"/>
        </w:rPr>
        <w:lastRenderedPageBreak/>
        <w:t>«</w:t>
      </w:r>
      <w:r w:rsidR="00CF6135">
        <w:rPr>
          <w:szCs w:val="20"/>
        </w:rPr>
        <w:t>Клиентам</w:t>
      </w:r>
      <w:r w:rsidRPr="00844729">
        <w:rPr>
          <w:szCs w:val="20"/>
        </w:rPr>
        <w:t>» имеется возможность использования личных кабинетов зарегистрированных пользователей, что позволяет им в режиме реального времени наблюдать за состоянием дел и вводить данные по планам расхода электроэнергии.</w:t>
      </w:r>
    </w:p>
    <w:p w:rsidR="000019BC" w:rsidRDefault="000019BC" w:rsidP="00B416B3">
      <w:pPr>
        <w:ind w:firstLine="709"/>
        <w:jc w:val="both"/>
        <w:rPr>
          <w:b/>
          <w:szCs w:val="20"/>
        </w:rPr>
      </w:pPr>
    </w:p>
    <w:p w:rsidR="00B416B3" w:rsidRPr="00074F67" w:rsidRDefault="00074F67" w:rsidP="00B416B3">
      <w:pPr>
        <w:ind w:firstLine="709"/>
        <w:jc w:val="both"/>
        <w:rPr>
          <w:b/>
          <w:szCs w:val="20"/>
        </w:rPr>
      </w:pPr>
      <w:r w:rsidRPr="00074F67">
        <w:rPr>
          <w:b/>
          <w:szCs w:val="20"/>
        </w:rPr>
        <w:t>Рисунок 5. Главная страница официального сайта ОАО «Каббалкэнерго»</w:t>
      </w:r>
    </w:p>
    <w:p w:rsidR="00B416B3" w:rsidRPr="00844729" w:rsidRDefault="00B416B3" w:rsidP="00B416B3">
      <w:pPr>
        <w:jc w:val="both"/>
        <w:rPr>
          <w:szCs w:val="20"/>
        </w:rPr>
      </w:pPr>
      <w:r>
        <w:rPr>
          <w:noProof/>
          <w:szCs w:val="20"/>
        </w:rPr>
        <w:drawing>
          <wp:inline distT="0" distB="0" distL="0" distR="0" wp14:anchorId="51CEF697" wp14:editId="0BD6D0C1">
            <wp:extent cx="5931535" cy="3402965"/>
            <wp:effectExtent l="0" t="0" r="0" b="6985"/>
            <wp:docPr id="3" name="Рисунок 3" descr="Kabbalkener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bbalkenergo"/>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31535" cy="3402965"/>
                    </a:xfrm>
                    <a:prstGeom prst="rect">
                      <a:avLst/>
                    </a:prstGeom>
                    <a:noFill/>
                    <a:ln>
                      <a:noFill/>
                    </a:ln>
                  </pic:spPr>
                </pic:pic>
              </a:graphicData>
            </a:graphic>
          </wp:inline>
        </w:drawing>
      </w:r>
    </w:p>
    <w:p w:rsidR="00B416B3" w:rsidRPr="00844729" w:rsidRDefault="00B416B3" w:rsidP="00B416B3">
      <w:pPr>
        <w:ind w:firstLine="709"/>
        <w:jc w:val="both"/>
        <w:rPr>
          <w:szCs w:val="20"/>
          <w:lang w:val="en-US"/>
        </w:rPr>
      </w:pPr>
    </w:p>
    <w:p w:rsidR="00B416B3" w:rsidRPr="00844729" w:rsidRDefault="00B416B3" w:rsidP="00B416B3">
      <w:pPr>
        <w:ind w:firstLine="708"/>
        <w:jc w:val="both"/>
      </w:pPr>
      <w:r w:rsidRPr="00844729">
        <w:t>Приоритетными направлениями внедрения и использования информационных технологий в 2014 году были:</w:t>
      </w:r>
    </w:p>
    <w:p w:rsidR="00B416B3" w:rsidRPr="00844729" w:rsidRDefault="00B416B3" w:rsidP="00B416B3">
      <w:pPr>
        <w:keepNext/>
        <w:spacing w:before="240" w:after="60"/>
        <w:ind w:firstLine="720"/>
        <w:jc w:val="both"/>
        <w:outlineLvl w:val="2"/>
        <w:rPr>
          <w:b/>
          <w:bCs/>
        </w:rPr>
      </w:pPr>
      <w:r w:rsidRPr="00844729">
        <w:rPr>
          <w:b/>
          <w:bCs/>
        </w:rPr>
        <w:t>ИТ-инфраструктура</w:t>
      </w:r>
    </w:p>
    <w:p w:rsidR="00B416B3" w:rsidRPr="00844729" w:rsidRDefault="00B416B3" w:rsidP="00B416B3">
      <w:pPr>
        <w:ind w:firstLine="720"/>
        <w:jc w:val="both"/>
        <w:rPr>
          <w:iCs/>
        </w:rPr>
      </w:pPr>
      <w:r w:rsidRPr="00844729">
        <w:t>В части развития ИТ-инфраструктуры:</w:t>
      </w:r>
    </w:p>
    <w:p w:rsidR="00B416B3" w:rsidRPr="00844729" w:rsidRDefault="00B416B3" w:rsidP="00230DF1">
      <w:pPr>
        <w:numPr>
          <w:ilvl w:val="0"/>
          <w:numId w:val="6"/>
        </w:numPr>
        <w:tabs>
          <w:tab w:val="num" w:pos="360"/>
        </w:tabs>
        <w:jc w:val="both"/>
      </w:pPr>
      <w:r w:rsidRPr="00844729">
        <w:t>Интернет</w:t>
      </w:r>
      <w:r>
        <w:t xml:space="preserve"> - о</w:t>
      </w:r>
      <w:r w:rsidRPr="00844729">
        <w:t xml:space="preserve">существлен переход на оптоволоконную линию связи и </w:t>
      </w:r>
      <w:r w:rsidRPr="00844729">
        <w:rPr>
          <w:lang w:val="en-US"/>
        </w:rPr>
        <w:t>WI</w:t>
      </w:r>
      <w:r w:rsidRPr="00844729">
        <w:t>-</w:t>
      </w:r>
      <w:r w:rsidRPr="00844729">
        <w:rPr>
          <w:lang w:val="en-US"/>
        </w:rPr>
        <w:t>FI</w:t>
      </w:r>
      <w:r w:rsidRPr="00844729">
        <w:t xml:space="preserve"> со скоростью 10 </w:t>
      </w:r>
      <w:r w:rsidR="00DD4117">
        <w:t>М</w:t>
      </w:r>
      <w:r w:rsidRPr="00844729">
        <w:t>б/с от 2-х провайдеров</w:t>
      </w:r>
      <w:r>
        <w:t xml:space="preserve"> </w:t>
      </w:r>
      <w:r w:rsidRPr="00844729">
        <w:t>«ЮГ-Телеком» и «Мегафон»;</w:t>
      </w:r>
    </w:p>
    <w:p w:rsidR="00B416B3" w:rsidRPr="00844729" w:rsidRDefault="00B416B3" w:rsidP="00230DF1">
      <w:pPr>
        <w:numPr>
          <w:ilvl w:val="0"/>
          <w:numId w:val="6"/>
        </w:numPr>
        <w:tabs>
          <w:tab w:val="num" w:pos="360"/>
        </w:tabs>
        <w:jc w:val="both"/>
        <w:rPr>
          <w:iCs/>
        </w:rPr>
      </w:pPr>
      <w:r w:rsidRPr="00844729">
        <w:t xml:space="preserve">Стационарная связь – </w:t>
      </w:r>
      <w:r>
        <w:t>о</w:t>
      </w:r>
      <w:r w:rsidRPr="00844729">
        <w:t xml:space="preserve">существляются работы по переходу на </w:t>
      </w:r>
      <w:r w:rsidRPr="00844729">
        <w:rPr>
          <w:lang w:val="en-US"/>
        </w:rPr>
        <w:t>IP</w:t>
      </w:r>
      <w:r w:rsidRPr="00844729">
        <w:t>-телефонию;</w:t>
      </w:r>
    </w:p>
    <w:p w:rsidR="00B416B3" w:rsidRPr="00844729" w:rsidRDefault="00B416B3" w:rsidP="00230DF1">
      <w:pPr>
        <w:numPr>
          <w:ilvl w:val="0"/>
          <w:numId w:val="6"/>
        </w:numPr>
        <w:tabs>
          <w:tab w:val="num" w:pos="360"/>
        </w:tabs>
        <w:jc w:val="both"/>
      </w:pPr>
      <w:r w:rsidRPr="00844729">
        <w:t>Модернизация парка рабочих станций, серверов и офисного оборудования</w:t>
      </w:r>
      <w:r>
        <w:t>;</w:t>
      </w:r>
    </w:p>
    <w:p w:rsidR="00B416B3" w:rsidRPr="00844729" w:rsidRDefault="00B416B3" w:rsidP="00B416B3">
      <w:pPr>
        <w:ind w:left="708"/>
        <w:jc w:val="center"/>
        <w:rPr>
          <w:b/>
        </w:rPr>
      </w:pPr>
    </w:p>
    <w:p w:rsidR="00B416B3" w:rsidRPr="00844729" w:rsidRDefault="00B416B3" w:rsidP="00B416B3">
      <w:pPr>
        <w:ind w:left="708"/>
        <w:jc w:val="center"/>
        <w:rPr>
          <w:b/>
        </w:rPr>
      </w:pPr>
      <w:r w:rsidRPr="00844729">
        <w:rPr>
          <w:b/>
        </w:rPr>
        <w:t>Основные средства ОАО «Каббалкэнерго»</w:t>
      </w:r>
    </w:p>
    <w:tbl>
      <w:tblPr>
        <w:tblW w:w="9091"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513"/>
        <w:gridCol w:w="921"/>
        <w:gridCol w:w="1077"/>
        <w:gridCol w:w="1719"/>
        <w:gridCol w:w="1396"/>
        <w:gridCol w:w="1465"/>
      </w:tblGrid>
      <w:tr w:rsidR="00B416B3" w:rsidRPr="00844729" w:rsidTr="00074F67">
        <w:trPr>
          <w:trHeight w:val="417"/>
          <w:jc w:val="center"/>
        </w:trPr>
        <w:tc>
          <w:tcPr>
            <w:tcW w:w="2513" w:type="dxa"/>
            <w:vMerge w:val="restart"/>
            <w:tcBorders>
              <w:top w:val="single" w:sz="4" w:space="0" w:color="auto"/>
              <w:left w:val="single" w:sz="4" w:space="0" w:color="auto"/>
              <w:bottom w:val="single" w:sz="6" w:space="0" w:color="auto"/>
              <w:right w:val="single" w:sz="6" w:space="0" w:color="auto"/>
            </w:tcBorders>
            <w:vAlign w:val="center"/>
          </w:tcPr>
          <w:p w:rsidR="00B416B3" w:rsidRPr="00844729" w:rsidRDefault="00B416B3" w:rsidP="0065306A">
            <w:pPr>
              <w:jc w:val="center"/>
              <w:rPr>
                <w:sz w:val="20"/>
              </w:rPr>
            </w:pPr>
          </w:p>
        </w:tc>
        <w:tc>
          <w:tcPr>
            <w:tcW w:w="1998" w:type="dxa"/>
            <w:gridSpan w:val="2"/>
            <w:tcBorders>
              <w:top w:val="single" w:sz="4"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Количество</w:t>
            </w:r>
          </w:p>
        </w:tc>
        <w:tc>
          <w:tcPr>
            <w:tcW w:w="1719" w:type="dxa"/>
            <w:vMerge w:val="restart"/>
            <w:tcBorders>
              <w:top w:val="single" w:sz="4" w:space="0" w:color="auto"/>
              <w:left w:val="single" w:sz="6" w:space="0" w:color="auto"/>
              <w:bottom w:val="single" w:sz="6" w:space="0" w:color="auto"/>
              <w:right w:val="single" w:sz="6" w:space="0" w:color="auto"/>
            </w:tcBorders>
            <w:vAlign w:val="center"/>
            <w:hideMark/>
          </w:tcPr>
          <w:p w:rsidR="00B416B3" w:rsidRPr="00844729" w:rsidRDefault="00B416B3" w:rsidP="0065306A">
            <w:pPr>
              <w:jc w:val="center"/>
              <w:rPr>
                <w:sz w:val="20"/>
              </w:rPr>
            </w:pPr>
            <w:r w:rsidRPr="00844729">
              <w:rPr>
                <w:sz w:val="20"/>
              </w:rPr>
              <w:t>Удовлетворяют             тех. требованиям</w:t>
            </w:r>
          </w:p>
        </w:tc>
        <w:tc>
          <w:tcPr>
            <w:tcW w:w="2861" w:type="dxa"/>
            <w:gridSpan w:val="2"/>
            <w:tcBorders>
              <w:top w:val="single" w:sz="4" w:space="0" w:color="auto"/>
              <w:left w:val="single" w:sz="6" w:space="0" w:color="auto"/>
              <w:bottom w:val="single" w:sz="6" w:space="0" w:color="auto"/>
              <w:right w:val="single" w:sz="4" w:space="0" w:color="auto"/>
            </w:tcBorders>
            <w:vAlign w:val="center"/>
            <w:hideMark/>
          </w:tcPr>
          <w:p w:rsidR="00B416B3" w:rsidRPr="00844729" w:rsidRDefault="00B416B3" w:rsidP="0065306A">
            <w:pPr>
              <w:jc w:val="center"/>
              <w:rPr>
                <w:sz w:val="20"/>
              </w:rPr>
            </w:pPr>
            <w:r w:rsidRPr="00844729">
              <w:rPr>
                <w:sz w:val="20"/>
              </w:rPr>
              <w:t>Из них</w:t>
            </w:r>
          </w:p>
        </w:tc>
      </w:tr>
      <w:tr w:rsidR="00B416B3" w:rsidRPr="00844729" w:rsidTr="00074F67">
        <w:trPr>
          <w:trHeight w:val="586"/>
          <w:jc w:val="center"/>
        </w:trPr>
        <w:tc>
          <w:tcPr>
            <w:tcW w:w="2513" w:type="dxa"/>
            <w:vMerge/>
            <w:tcBorders>
              <w:top w:val="single" w:sz="4" w:space="0" w:color="auto"/>
              <w:left w:val="single" w:sz="4" w:space="0" w:color="auto"/>
              <w:bottom w:val="single" w:sz="6" w:space="0" w:color="auto"/>
              <w:right w:val="single" w:sz="6" w:space="0" w:color="auto"/>
            </w:tcBorders>
            <w:vAlign w:val="center"/>
            <w:hideMark/>
          </w:tcPr>
          <w:p w:rsidR="00B416B3" w:rsidRPr="00844729" w:rsidRDefault="00B416B3" w:rsidP="0065306A">
            <w:pPr>
              <w:jc w:val="center"/>
              <w:rPr>
                <w:sz w:val="20"/>
              </w:rPr>
            </w:pPr>
          </w:p>
        </w:tc>
        <w:tc>
          <w:tcPr>
            <w:tcW w:w="921" w:type="dxa"/>
            <w:tcBorders>
              <w:top w:val="single" w:sz="6" w:space="0" w:color="auto"/>
              <w:left w:val="single" w:sz="6" w:space="0" w:color="auto"/>
              <w:bottom w:val="single" w:sz="6" w:space="0" w:color="auto"/>
              <w:right w:val="single" w:sz="4" w:space="0" w:color="auto"/>
            </w:tcBorders>
            <w:vAlign w:val="center"/>
            <w:hideMark/>
          </w:tcPr>
          <w:p w:rsidR="00B416B3" w:rsidRPr="00844729" w:rsidRDefault="00B416B3" w:rsidP="0065306A">
            <w:pPr>
              <w:jc w:val="center"/>
              <w:rPr>
                <w:sz w:val="20"/>
              </w:rPr>
            </w:pPr>
            <w:r w:rsidRPr="00844729">
              <w:rPr>
                <w:sz w:val="20"/>
              </w:rPr>
              <w:t>Начало</w:t>
            </w:r>
          </w:p>
          <w:p w:rsidR="00B416B3" w:rsidRPr="00844729" w:rsidRDefault="00B416B3" w:rsidP="0065306A">
            <w:pPr>
              <w:jc w:val="center"/>
              <w:rPr>
                <w:sz w:val="20"/>
              </w:rPr>
            </w:pPr>
            <w:r w:rsidRPr="00844729">
              <w:rPr>
                <w:sz w:val="20"/>
              </w:rPr>
              <w:t>2014г.</w:t>
            </w:r>
          </w:p>
        </w:tc>
        <w:tc>
          <w:tcPr>
            <w:tcW w:w="1077" w:type="dxa"/>
            <w:tcBorders>
              <w:top w:val="single" w:sz="6" w:space="0" w:color="auto"/>
              <w:left w:val="single" w:sz="4" w:space="0" w:color="auto"/>
              <w:bottom w:val="single" w:sz="6" w:space="0" w:color="auto"/>
              <w:right w:val="single" w:sz="6" w:space="0" w:color="auto"/>
            </w:tcBorders>
            <w:vAlign w:val="center"/>
            <w:hideMark/>
          </w:tcPr>
          <w:p w:rsidR="00B416B3" w:rsidRPr="00844729" w:rsidRDefault="00B416B3" w:rsidP="0065306A">
            <w:pPr>
              <w:jc w:val="center"/>
              <w:rPr>
                <w:sz w:val="20"/>
              </w:rPr>
            </w:pPr>
            <w:r w:rsidRPr="00844729">
              <w:rPr>
                <w:sz w:val="20"/>
              </w:rPr>
              <w:t>Конец</w:t>
            </w:r>
          </w:p>
          <w:p w:rsidR="00B416B3" w:rsidRPr="00844729" w:rsidRDefault="00B416B3" w:rsidP="0065306A">
            <w:pPr>
              <w:jc w:val="center"/>
              <w:rPr>
                <w:sz w:val="20"/>
              </w:rPr>
            </w:pPr>
            <w:r w:rsidRPr="00844729">
              <w:rPr>
                <w:sz w:val="20"/>
              </w:rPr>
              <w:t>2014г.</w:t>
            </w:r>
          </w:p>
        </w:tc>
        <w:tc>
          <w:tcPr>
            <w:tcW w:w="1719" w:type="dxa"/>
            <w:vMerge/>
            <w:tcBorders>
              <w:top w:val="single" w:sz="4" w:space="0" w:color="auto"/>
              <w:left w:val="single" w:sz="6" w:space="0" w:color="auto"/>
              <w:bottom w:val="single" w:sz="6" w:space="0" w:color="auto"/>
              <w:right w:val="single" w:sz="6" w:space="0" w:color="auto"/>
            </w:tcBorders>
            <w:vAlign w:val="center"/>
            <w:hideMark/>
          </w:tcPr>
          <w:p w:rsidR="00B416B3" w:rsidRPr="00844729" w:rsidRDefault="00B416B3" w:rsidP="0065306A">
            <w:pPr>
              <w:jc w:val="center"/>
              <w:rPr>
                <w:sz w:val="20"/>
              </w:rPr>
            </w:pPr>
          </w:p>
        </w:tc>
        <w:tc>
          <w:tcPr>
            <w:tcW w:w="1396" w:type="dxa"/>
            <w:tcBorders>
              <w:top w:val="single" w:sz="6" w:space="0" w:color="auto"/>
              <w:left w:val="single" w:sz="6" w:space="0" w:color="auto"/>
              <w:bottom w:val="single" w:sz="6" w:space="0" w:color="auto"/>
              <w:right w:val="single" w:sz="6" w:space="0" w:color="auto"/>
            </w:tcBorders>
            <w:vAlign w:val="center"/>
            <w:hideMark/>
          </w:tcPr>
          <w:p w:rsidR="00B416B3" w:rsidRPr="00844729" w:rsidRDefault="00B416B3" w:rsidP="0065306A">
            <w:pPr>
              <w:jc w:val="center"/>
              <w:rPr>
                <w:sz w:val="20"/>
              </w:rPr>
            </w:pPr>
            <w:r w:rsidRPr="00844729">
              <w:rPr>
                <w:sz w:val="20"/>
              </w:rPr>
              <w:t>Требуют модификации</w:t>
            </w:r>
          </w:p>
        </w:tc>
        <w:tc>
          <w:tcPr>
            <w:tcW w:w="1465" w:type="dxa"/>
            <w:tcBorders>
              <w:top w:val="single" w:sz="6" w:space="0" w:color="auto"/>
              <w:left w:val="single" w:sz="6" w:space="0" w:color="auto"/>
              <w:bottom w:val="single" w:sz="6" w:space="0" w:color="auto"/>
              <w:right w:val="single" w:sz="4" w:space="0" w:color="auto"/>
            </w:tcBorders>
            <w:vAlign w:val="center"/>
            <w:hideMark/>
          </w:tcPr>
          <w:p w:rsidR="00B416B3" w:rsidRPr="00844729" w:rsidRDefault="00B416B3" w:rsidP="0065306A">
            <w:pPr>
              <w:jc w:val="center"/>
              <w:rPr>
                <w:sz w:val="20"/>
              </w:rPr>
            </w:pPr>
            <w:r w:rsidRPr="00844729">
              <w:rPr>
                <w:sz w:val="20"/>
              </w:rPr>
              <w:t>Требуют                   замены</w:t>
            </w:r>
          </w:p>
        </w:tc>
      </w:tr>
      <w:tr w:rsidR="00B416B3" w:rsidRPr="00844729" w:rsidTr="00074F67">
        <w:trPr>
          <w:trHeight w:val="442"/>
          <w:jc w:val="center"/>
        </w:trPr>
        <w:tc>
          <w:tcPr>
            <w:tcW w:w="2513" w:type="dxa"/>
            <w:tcBorders>
              <w:top w:val="single" w:sz="6" w:space="0" w:color="auto"/>
              <w:left w:val="single" w:sz="4" w:space="0" w:color="auto"/>
              <w:bottom w:val="single" w:sz="6" w:space="0" w:color="auto"/>
              <w:right w:val="single" w:sz="6" w:space="0" w:color="auto"/>
            </w:tcBorders>
            <w:vAlign w:val="center"/>
            <w:hideMark/>
          </w:tcPr>
          <w:p w:rsidR="00B416B3" w:rsidRPr="00844729" w:rsidRDefault="00B416B3" w:rsidP="0065306A">
            <w:pPr>
              <w:rPr>
                <w:sz w:val="20"/>
              </w:rPr>
            </w:pPr>
            <w:r w:rsidRPr="00844729">
              <w:rPr>
                <w:sz w:val="20"/>
              </w:rPr>
              <w:t>ПК, рабочие станции</w:t>
            </w:r>
          </w:p>
        </w:tc>
        <w:tc>
          <w:tcPr>
            <w:tcW w:w="921"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r w:rsidRPr="00844729">
              <w:rPr>
                <w:sz w:val="20"/>
              </w:rPr>
              <w:t>295</w:t>
            </w:r>
          </w:p>
        </w:tc>
        <w:tc>
          <w:tcPr>
            <w:tcW w:w="1077" w:type="dxa"/>
            <w:tcBorders>
              <w:top w:val="single" w:sz="6" w:space="0" w:color="auto"/>
              <w:left w:val="single" w:sz="4"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321</w:t>
            </w:r>
          </w:p>
        </w:tc>
        <w:tc>
          <w:tcPr>
            <w:tcW w:w="1719"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268</w:t>
            </w:r>
          </w:p>
        </w:tc>
        <w:tc>
          <w:tcPr>
            <w:tcW w:w="1396"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p>
        </w:tc>
        <w:tc>
          <w:tcPr>
            <w:tcW w:w="1465"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r w:rsidRPr="00844729">
              <w:rPr>
                <w:sz w:val="20"/>
              </w:rPr>
              <w:t>53</w:t>
            </w:r>
          </w:p>
        </w:tc>
      </w:tr>
      <w:tr w:rsidR="00B416B3" w:rsidRPr="00844729" w:rsidTr="00074F67">
        <w:trPr>
          <w:trHeight w:val="631"/>
          <w:jc w:val="center"/>
        </w:trPr>
        <w:tc>
          <w:tcPr>
            <w:tcW w:w="2513" w:type="dxa"/>
            <w:tcBorders>
              <w:top w:val="single" w:sz="6" w:space="0" w:color="auto"/>
              <w:left w:val="single" w:sz="4" w:space="0" w:color="auto"/>
              <w:bottom w:val="single" w:sz="6" w:space="0" w:color="auto"/>
              <w:right w:val="single" w:sz="6" w:space="0" w:color="auto"/>
            </w:tcBorders>
            <w:vAlign w:val="center"/>
            <w:hideMark/>
          </w:tcPr>
          <w:p w:rsidR="00B416B3" w:rsidRPr="00844729" w:rsidRDefault="00B416B3" w:rsidP="0065306A">
            <w:pPr>
              <w:rPr>
                <w:sz w:val="20"/>
              </w:rPr>
            </w:pPr>
            <w:r w:rsidRPr="00844729">
              <w:rPr>
                <w:sz w:val="20"/>
              </w:rPr>
              <w:t>Периферийные устройства</w:t>
            </w:r>
          </w:p>
        </w:tc>
        <w:tc>
          <w:tcPr>
            <w:tcW w:w="921"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r w:rsidRPr="00844729">
              <w:rPr>
                <w:sz w:val="20"/>
              </w:rPr>
              <w:t>200</w:t>
            </w:r>
          </w:p>
        </w:tc>
        <w:tc>
          <w:tcPr>
            <w:tcW w:w="1077" w:type="dxa"/>
            <w:tcBorders>
              <w:top w:val="single" w:sz="6" w:space="0" w:color="auto"/>
              <w:left w:val="single" w:sz="4"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216</w:t>
            </w:r>
          </w:p>
        </w:tc>
        <w:tc>
          <w:tcPr>
            <w:tcW w:w="1719"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182</w:t>
            </w:r>
          </w:p>
        </w:tc>
        <w:tc>
          <w:tcPr>
            <w:tcW w:w="1396"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p>
        </w:tc>
        <w:tc>
          <w:tcPr>
            <w:tcW w:w="1465"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r w:rsidRPr="00844729">
              <w:rPr>
                <w:sz w:val="20"/>
              </w:rPr>
              <w:t>34</w:t>
            </w:r>
          </w:p>
        </w:tc>
      </w:tr>
      <w:tr w:rsidR="00B416B3" w:rsidRPr="00844729" w:rsidTr="00074F67">
        <w:trPr>
          <w:trHeight w:val="482"/>
          <w:jc w:val="center"/>
        </w:trPr>
        <w:tc>
          <w:tcPr>
            <w:tcW w:w="2513" w:type="dxa"/>
            <w:tcBorders>
              <w:top w:val="single" w:sz="6" w:space="0" w:color="auto"/>
              <w:left w:val="single" w:sz="4" w:space="0" w:color="auto"/>
              <w:bottom w:val="single" w:sz="6" w:space="0" w:color="auto"/>
              <w:right w:val="single" w:sz="6" w:space="0" w:color="auto"/>
            </w:tcBorders>
            <w:vAlign w:val="center"/>
            <w:hideMark/>
          </w:tcPr>
          <w:p w:rsidR="00B416B3" w:rsidRPr="00844729" w:rsidRDefault="00B416B3" w:rsidP="0065306A">
            <w:pPr>
              <w:rPr>
                <w:sz w:val="20"/>
              </w:rPr>
            </w:pPr>
            <w:r w:rsidRPr="00844729">
              <w:rPr>
                <w:sz w:val="20"/>
              </w:rPr>
              <w:t>Активное сетевое оборудование</w:t>
            </w:r>
          </w:p>
        </w:tc>
        <w:tc>
          <w:tcPr>
            <w:tcW w:w="921"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r w:rsidRPr="00844729">
              <w:rPr>
                <w:sz w:val="20"/>
              </w:rPr>
              <w:t>75</w:t>
            </w:r>
          </w:p>
        </w:tc>
        <w:tc>
          <w:tcPr>
            <w:tcW w:w="1077" w:type="dxa"/>
            <w:tcBorders>
              <w:top w:val="single" w:sz="6" w:space="0" w:color="auto"/>
              <w:left w:val="single" w:sz="4"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97</w:t>
            </w:r>
          </w:p>
        </w:tc>
        <w:tc>
          <w:tcPr>
            <w:tcW w:w="1719"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r w:rsidRPr="00844729">
              <w:rPr>
                <w:sz w:val="20"/>
              </w:rPr>
              <w:t>97</w:t>
            </w:r>
          </w:p>
        </w:tc>
        <w:tc>
          <w:tcPr>
            <w:tcW w:w="1396" w:type="dxa"/>
            <w:tcBorders>
              <w:top w:val="single" w:sz="6" w:space="0" w:color="auto"/>
              <w:left w:val="single" w:sz="6" w:space="0" w:color="auto"/>
              <w:bottom w:val="single" w:sz="6" w:space="0" w:color="auto"/>
              <w:right w:val="single" w:sz="6" w:space="0" w:color="auto"/>
            </w:tcBorders>
            <w:vAlign w:val="center"/>
          </w:tcPr>
          <w:p w:rsidR="00B416B3" w:rsidRPr="00844729" w:rsidRDefault="00B416B3" w:rsidP="0065306A">
            <w:pPr>
              <w:jc w:val="center"/>
              <w:rPr>
                <w:sz w:val="20"/>
              </w:rPr>
            </w:pPr>
          </w:p>
        </w:tc>
        <w:tc>
          <w:tcPr>
            <w:tcW w:w="1465" w:type="dxa"/>
            <w:tcBorders>
              <w:top w:val="single" w:sz="6" w:space="0" w:color="auto"/>
              <w:left w:val="single" w:sz="6" w:space="0" w:color="auto"/>
              <w:bottom w:val="single" w:sz="6" w:space="0" w:color="auto"/>
              <w:right w:val="single" w:sz="4" w:space="0" w:color="auto"/>
            </w:tcBorders>
            <w:vAlign w:val="center"/>
          </w:tcPr>
          <w:p w:rsidR="00B416B3" w:rsidRPr="00844729" w:rsidRDefault="00B416B3" w:rsidP="0065306A">
            <w:pPr>
              <w:jc w:val="center"/>
              <w:rPr>
                <w:sz w:val="20"/>
              </w:rPr>
            </w:pPr>
          </w:p>
        </w:tc>
      </w:tr>
      <w:tr w:rsidR="00B416B3" w:rsidRPr="00844729" w:rsidTr="00074F67">
        <w:trPr>
          <w:trHeight w:val="532"/>
          <w:jc w:val="center"/>
        </w:trPr>
        <w:tc>
          <w:tcPr>
            <w:tcW w:w="2513" w:type="dxa"/>
            <w:tcBorders>
              <w:top w:val="single" w:sz="6" w:space="0" w:color="auto"/>
              <w:left w:val="single" w:sz="4" w:space="0" w:color="auto"/>
              <w:bottom w:val="single" w:sz="4" w:space="0" w:color="auto"/>
              <w:right w:val="single" w:sz="6" w:space="0" w:color="auto"/>
            </w:tcBorders>
            <w:vAlign w:val="center"/>
            <w:hideMark/>
          </w:tcPr>
          <w:p w:rsidR="00B416B3" w:rsidRPr="00844729" w:rsidRDefault="00B416B3" w:rsidP="0065306A">
            <w:pPr>
              <w:rPr>
                <w:sz w:val="20"/>
              </w:rPr>
            </w:pPr>
            <w:r w:rsidRPr="00844729">
              <w:rPr>
                <w:sz w:val="20"/>
              </w:rPr>
              <w:t>Серверное оборудование</w:t>
            </w:r>
          </w:p>
        </w:tc>
        <w:tc>
          <w:tcPr>
            <w:tcW w:w="921" w:type="dxa"/>
            <w:tcBorders>
              <w:top w:val="single" w:sz="6" w:space="0" w:color="auto"/>
              <w:left w:val="single" w:sz="6" w:space="0" w:color="auto"/>
              <w:bottom w:val="single" w:sz="4" w:space="0" w:color="auto"/>
              <w:right w:val="single" w:sz="4" w:space="0" w:color="auto"/>
            </w:tcBorders>
            <w:vAlign w:val="center"/>
          </w:tcPr>
          <w:p w:rsidR="00B416B3" w:rsidRPr="00844729" w:rsidRDefault="00B416B3" w:rsidP="0065306A">
            <w:pPr>
              <w:jc w:val="center"/>
              <w:rPr>
                <w:sz w:val="20"/>
              </w:rPr>
            </w:pPr>
            <w:r w:rsidRPr="00844729">
              <w:rPr>
                <w:sz w:val="20"/>
              </w:rPr>
              <w:t>5</w:t>
            </w:r>
          </w:p>
        </w:tc>
        <w:tc>
          <w:tcPr>
            <w:tcW w:w="1077" w:type="dxa"/>
            <w:tcBorders>
              <w:top w:val="single" w:sz="6" w:space="0" w:color="auto"/>
              <w:left w:val="single" w:sz="4" w:space="0" w:color="auto"/>
              <w:bottom w:val="single" w:sz="4" w:space="0" w:color="auto"/>
              <w:right w:val="single" w:sz="6" w:space="0" w:color="auto"/>
            </w:tcBorders>
            <w:vAlign w:val="center"/>
          </w:tcPr>
          <w:p w:rsidR="00B416B3" w:rsidRPr="00844729" w:rsidRDefault="00B416B3" w:rsidP="0065306A">
            <w:pPr>
              <w:jc w:val="center"/>
              <w:rPr>
                <w:sz w:val="20"/>
              </w:rPr>
            </w:pPr>
            <w:r w:rsidRPr="00844729">
              <w:rPr>
                <w:sz w:val="20"/>
              </w:rPr>
              <w:t>6</w:t>
            </w:r>
          </w:p>
        </w:tc>
        <w:tc>
          <w:tcPr>
            <w:tcW w:w="1719" w:type="dxa"/>
            <w:tcBorders>
              <w:top w:val="single" w:sz="6" w:space="0" w:color="auto"/>
              <w:left w:val="single" w:sz="6" w:space="0" w:color="auto"/>
              <w:bottom w:val="single" w:sz="4" w:space="0" w:color="auto"/>
              <w:right w:val="single" w:sz="6" w:space="0" w:color="auto"/>
            </w:tcBorders>
            <w:vAlign w:val="center"/>
          </w:tcPr>
          <w:p w:rsidR="00B416B3" w:rsidRPr="00844729" w:rsidRDefault="00B416B3" w:rsidP="0065306A">
            <w:pPr>
              <w:jc w:val="center"/>
              <w:rPr>
                <w:sz w:val="20"/>
              </w:rPr>
            </w:pPr>
          </w:p>
        </w:tc>
        <w:tc>
          <w:tcPr>
            <w:tcW w:w="1396" w:type="dxa"/>
            <w:tcBorders>
              <w:top w:val="single" w:sz="6" w:space="0" w:color="auto"/>
              <w:left w:val="single" w:sz="6" w:space="0" w:color="auto"/>
              <w:bottom w:val="single" w:sz="4" w:space="0" w:color="auto"/>
              <w:right w:val="single" w:sz="6" w:space="0" w:color="auto"/>
            </w:tcBorders>
            <w:vAlign w:val="center"/>
          </w:tcPr>
          <w:p w:rsidR="00B416B3" w:rsidRPr="00844729" w:rsidRDefault="00B416B3" w:rsidP="0065306A">
            <w:pPr>
              <w:jc w:val="center"/>
              <w:rPr>
                <w:sz w:val="20"/>
              </w:rPr>
            </w:pPr>
          </w:p>
        </w:tc>
        <w:tc>
          <w:tcPr>
            <w:tcW w:w="1465" w:type="dxa"/>
            <w:tcBorders>
              <w:top w:val="single" w:sz="6" w:space="0" w:color="auto"/>
              <w:left w:val="single" w:sz="6" w:space="0" w:color="auto"/>
              <w:bottom w:val="single" w:sz="4" w:space="0" w:color="auto"/>
              <w:right w:val="single" w:sz="4" w:space="0" w:color="auto"/>
            </w:tcBorders>
            <w:vAlign w:val="center"/>
          </w:tcPr>
          <w:p w:rsidR="00B416B3" w:rsidRPr="00844729" w:rsidRDefault="00B416B3" w:rsidP="0065306A">
            <w:pPr>
              <w:jc w:val="center"/>
              <w:rPr>
                <w:sz w:val="20"/>
              </w:rPr>
            </w:pPr>
          </w:p>
        </w:tc>
      </w:tr>
    </w:tbl>
    <w:p w:rsidR="00B416B3" w:rsidRDefault="00B416B3" w:rsidP="00B416B3">
      <w:pPr>
        <w:jc w:val="both"/>
        <w:rPr>
          <w:i/>
          <w:iCs/>
          <w:szCs w:val="20"/>
        </w:rPr>
      </w:pPr>
    </w:p>
    <w:p w:rsidR="00F46D1A" w:rsidRDefault="00F46D1A" w:rsidP="00F46D1A">
      <w:pPr>
        <w:jc w:val="center"/>
        <w:rPr>
          <w:i/>
          <w:iCs/>
          <w:szCs w:val="20"/>
        </w:rPr>
      </w:pPr>
    </w:p>
    <w:p w:rsidR="00F46D1A" w:rsidRDefault="00F46D1A" w:rsidP="00F46D1A">
      <w:pPr>
        <w:jc w:val="center"/>
        <w:rPr>
          <w:i/>
          <w:iCs/>
          <w:szCs w:val="20"/>
        </w:rPr>
      </w:pPr>
    </w:p>
    <w:p w:rsidR="00F46D1A" w:rsidRDefault="00F46D1A" w:rsidP="00247FEF">
      <w:pPr>
        <w:rPr>
          <w:i/>
          <w:iCs/>
          <w:szCs w:val="20"/>
        </w:rPr>
      </w:pPr>
    </w:p>
    <w:p w:rsidR="00F46D1A" w:rsidRDefault="00F46D1A" w:rsidP="00F46D1A">
      <w:pPr>
        <w:jc w:val="center"/>
        <w:rPr>
          <w:i/>
          <w:iCs/>
          <w:szCs w:val="20"/>
        </w:rPr>
      </w:pPr>
      <w:r>
        <w:rPr>
          <w:i/>
          <w:iCs/>
          <w:szCs w:val="20"/>
        </w:rPr>
        <w:lastRenderedPageBreak/>
        <w:t>Схема ИТ-контура</w:t>
      </w:r>
    </w:p>
    <w:p w:rsidR="00F46D1A" w:rsidRDefault="00F46D1A" w:rsidP="00F46D1A">
      <w:pPr>
        <w:jc w:val="center"/>
        <w:rPr>
          <w:noProof/>
        </w:rPr>
      </w:pPr>
    </w:p>
    <w:p w:rsidR="00F46D1A" w:rsidRPr="00844729" w:rsidRDefault="00F46D1A" w:rsidP="00F46D1A">
      <w:pPr>
        <w:jc w:val="center"/>
        <w:rPr>
          <w:i/>
          <w:iCs/>
          <w:szCs w:val="20"/>
        </w:rPr>
      </w:pPr>
      <w:r>
        <w:rPr>
          <w:noProof/>
        </w:rPr>
        <w:drawing>
          <wp:inline distT="0" distB="0" distL="0" distR="0">
            <wp:extent cx="5940425" cy="3910111"/>
            <wp:effectExtent l="0" t="0" r="3175" b="0"/>
            <wp:docPr id="51" name="Рисунок 51" descr="C:\Users\ashba-eo\AppData\Local\Microsoft\Windows\Temporary Internet Files\Content.Word\IT-контур K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hba-eo\AppData\Local\Microsoft\Windows\Temporary Internet Files\Content.Word\IT-контур KBE.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3910111"/>
                    </a:xfrm>
                    <a:prstGeom prst="rect">
                      <a:avLst/>
                    </a:prstGeom>
                    <a:noFill/>
                    <a:ln>
                      <a:noFill/>
                    </a:ln>
                  </pic:spPr>
                </pic:pic>
              </a:graphicData>
            </a:graphic>
          </wp:inline>
        </w:drawing>
      </w:r>
    </w:p>
    <w:p w:rsidR="00F46D1A" w:rsidRPr="00F46D1A" w:rsidRDefault="00F46D1A" w:rsidP="00F46D1A">
      <w:pPr>
        <w:ind w:left="1068"/>
        <w:jc w:val="both"/>
        <w:rPr>
          <w:i/>
          <w:iCs/>
          <w:szCs w:val="20"/>
        </w:rPr>
      </w:pPr>
    </w:p>
    <w:p w:rsidR="00B416B3" w:rsidRPr="00844729" w:rsidRDefault="00B416B3" w:rsidP="00230DF1">
      <w:pPr>
        <w:numPr>
          <w:ilvl w:val="0"/>
          <w:numId w:val="6"/>
        </w:numPr>
        <w:jc w:val="both"/>
        <w:rPr>
          <w:i/>
          <w:iCs/>
          <w:szCs w:val="20"/>
        </w:rPr>
      </w:pPr>
      <w:r w:rsidRPr="00844729">
        <w:rPr>
          <w:szCs w:val="20"/>
        </w:rPr>
        <w:t xml:space="preserve">Совершенствование единого телекоммуникационного информационного пространства ОАО «Каббалкэнерго» и удаленных энергосбытовых отделений. Осуществлен перевод сети </w:t>
      </w:r>
      <w:r w:rsidRPr="00844729">
        <w:rPr>
          <w:szCs w:val="20"/>
          <w:lang w:val="en-US"/>
        </w:rPr>
        <w:t>VPN</w:t>
      </w:r>
      <w:r w:rsidRPr="00844729">
        <w:rPr>
          <w:szCs w:val="20"/>
        </w:rPr>
        <w:t xml:space="preserve"> на оптоволоконные линии связи со скоростью 2 Мб/с от провайдера «ЮГ-Телеком» и 1 Мб/с от провайдера «Мегафон» по </w:t>
      </w:r>
      <w:r w:rsidRPr="00844729">
        <w:rPr>
          <w:szCs w:val="20"/>
          <w:lang w:val="en-US"/>
        </w:rPr>
        <w:t>WI</w:t>
      </w:r>
      <w:r w:rsidRPr="00844729">
        <w:rPr>
          <w:szCs w:val="20"/>
        </w:rPr>
        <w:t>-</w:t>
      </w:r>
      <w:r w:rsidRPr="00844729">
        <w:rPr>
          <w:szCs w:val="20"/>
          <w:lang w:val="en-US"/>
        </w:rPr>
        <w:t>FI</w:t>
      </w:r>
      <w:r w:rsidRPr="00844729">
        <w:rPr>
          <w:szCs w:val="20"/>
        </w:rPr>
        <w:t xml:space="preserve"> связи. Ниже приводится схема сетевой инфраструктуры;</w:t>
      </w:r>
    </w:p>
    <w:p w:rsidR="00B416B3" w:rsidRDefault="00B416B3" w:rsidP="00F46D1A">
      <w:pPr>
        <w:jc w:val="both"/>
        <w:rPr>
          <w:szCs w:val="20"/>
        </w:rPr>
      </w:pPr>
    </w:p>
    <w:p w:rsidR="00B416B3" w:rsidRPr="00844729" w:rsidRDefault="00B416B3" w:rsidP="00B416B3">
      <w:pPr>
        <w:ind w:left="708"/>
        <w:jc w:val="center"/>
        <w:rPr>
          <w:b/>
          <w:szCs w:val="28"/>
        </w:rPr>
      </w:pPr>
      <w:r w:rsidRPr="00844729">
        <w:rPr>
          <w:b/>
          <w:szCs w:val="28"/>
        </w:rPr>
        <w:t>Таблица по резервированию каналов</w:t>
      </w:r>
    </w:p>
    <w:p w:rsidR="00B416B3" w:rsidRPr="00844729" w:rsidRDefault="00B416B3" w:rsidP="00B416B3">
      <w:pPr>
        <w:ind w:left="708"/>
        <w:rPr>
          <w:i/>
          <w:iCs/>
          <w:szCs w:val="20"/>
        </w:rPr>
      </w:pPr>
    </w:p>
    <w:tbl>
      <w:tblPr>
        <w:tblW w:w="947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2450"/>
        <w:gridCol w:w="3088"/>
        <w:gridCol w:w="2370"/>
        <w:gridCol w:w="1174"/>
      </w:tblGrid>
      <w:tr w:rsidR="00B416B3" w:rsidRPr="00844729" w:rsidTr="0065306A">
        <w:trPr>
          <w:trHeight w:val="300"/>
        </w:trPr>
        <w:tc>
          <w:tcPr>
            <w:tcW w:w="396" w:type="dxa"/>
          </w:tcPr>
          <w:p w:rsidR="00B416B3" w:rsidRPr="00844729" w:rsidRDefault="00B416B3" w:rsidP="0065306A">
            <w:pPr>
              <w:rPr>
                <w:sz w:val="18"/>
                <w:szCs w:val="18"/>
              </w:rPr>
            </w:pPr>
          </w:p>
        </w:tc>
        <w:tc>
          <w:tcPr>
            <w:tcW w:w="2450" w:type="dxa"/>
            <w:shd w:val="clear" w:color="auto" w:fill="auto"/>
            <w:noWrap/>
          </w:tcPr>
          <w:p w:rsidR="00B416B3" w:rsidRPr="00844729" w:rsidRDefault="00B416B3" w:rsidP="0065306A">
            <w:r w:rsidRPr="00844729">
              <w:t>Наименование ЭСО</w:t>
            </w:r>
          </w:p>
        </w:tc>
        <w:tc>
          <w:tcPr>
            <w:tcW w:w="3088" w:type="dxa"/>
            <w:shd w:val="clear" w:color="auto" w:fill="auto"/>
            <w:noWrap/>
            <w:vAlign w:val="center"/>
          </w:tcPr>
          <w:p w:rsidR="00B416B3" w:rsidRPr="00844729" w:rsidRDefault="00B416B3" w:rsidP="0065306A">
            <w:pPr>
              <w:jc w:val="center"/>
            </w:pPr>
            <w:r w:rsidRPr="00844729">
              <w:t>Провайдер</w:t>
            </w:r>
          </w:p>
        </w:tc>
        <w:tc>
          <w:tcPr>
            <w:tcW w:w="2370" w:type="dxa"/>
          </w:tcPr>
          <w:p w:rsidR="00B416B3" w:rsidRPr="00844729" w:rsidRDefault="00B416B3" w:rsidP="0065306A">
            <w:r w:rsidRPr="00844729">
              <w:t>Тип подключения</w:t>
            </w:r>
          </w:p>
        </w:tc>
        <w:tc>
          <w:tcPr>
            <w:tcW w:w="1174" w:type="dxa"/>
          </w:tcPr>
          <w:p w:rsidR="00B416B3" w:rsidRPr="00844729" w:rsidRDefault="00B416B3" w:rsidP="0065306A">
            <w:r w:rsidRPr="00844729">
              <w:t>Скорость</w:t>
            </w:r>
          </w:p>
        </w:tc>
      </w:tr>
      <w:tr w:rsidR="00B416B3" w:rsidRPr="00844729" w:rsidTr="0065306A">
        <w:trPr>
          <w:trHeight w:val="253"/>
        </w:trPr>
        <w:tc>
          <w:tcPr>
            <w:tcW w:w="396" w:type="dxa"/>
            <w:vMerge w:val="restart"/>
          </w:tcPr>
          <w:p w:rsidR="00B416B3" w:rsidRPr="00844729" w:rsidRDefault="00B416B3" w:rsidP="0065306A">
            <w:pPr>
              <w:rPr>
                <w:sz w:val="18"/>
                <w:szCs w:val="18"/>
              </w:rPr>
            </w:pPr>
            <w:r w:rsidRPr="00844729">
              <w:rPr>
                <w:sz w:val="18"/>
                <w:szCs w:val="18"/>
              </w:rPr>
              <w:t>1</w:t>
            </w:r>
          </w:p>
        </w:tc>
        <w:tc>
          <w:tcPr>
            <w:tcW w:w="2450" w:type="dxa"/>
            <w:vMerge w:val="restart"/>
            <w:shd w:val="clear" w:color="auto" w:fill="auto"/>
            <w:noWrap/>
          </w:tcPr>
          <w:p w:rsidR="00B416B3" w:rsidRPr="00844729" w:rsidRDefault="00B416B3" w:rsidP="0065306A">
            <w:pPr>
              <w:rPr>
                <w:sz w:val="20"/>
                <w:szCs w:val="20"/>
              </w:rPr>
            </w:pPr>
            <w:r w:rsidRPr="00844729">
              <w:rPr>
                <w:sz w:val="20"/>
                <w:szCs w:val="20"/>
              </w:rPr>
              <w:t>Центральный офис</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rPr>
            </w:pPr>
            <w:r w:rsidRPr="00844729">
              <w:rPr>
                <w:sz w:val="20"/>
                <w:szCs w:val="20"/>
              </w:rPr>
              <w:t xml:space="preserve">ВОЛС </w:t>
            </w:r>
          </w:p>
        </w:tc>
        <w:tc>
          <w:tcPr>
            <w:tcW w:w="1174" w:type="dxa"/>
          </w:tcPr>
          <w:p w:rsidR="00B416B3" w:rsidRPr="00844729" w:rsidRDefault="00B416B3" w:rsidP="0065306A">
            <w:pPr>
              <w:rPr>
                <w:sz w:val="20"/>
                <w:szCs w:val="20"/>
              </w:rPr>
            </w:pPr>
            <w:r w:rsidRPr="00844729">
              <w:rPr>
                <w:sz w:val="20"/>
                <w:szCs w:val="20"/>
              </w:rPr>
              <w:t>2048</w:t>
            </w:r>
          </w:p>
        </w:tc>
      </w:tr>
      <w:tr w:rsidR="00B416B3" w:rsidRPr="00844729" w:rsidTr="0065306A">
        <w:trPr>
          <w:trHeight w:val="284"/>
        </w:trPr>
        <w:tc>
          <w:tcPr>
            <w:tcW w:w="396" w:type="dxa"/>
            <w:vMerge/>
          </w:tcPr>
          <w:p w:rsidR="00B416B3" w:rsidRPr="00844729" w:rsidRDefault="00B416B3" w:rsidP="0065306A">
            <w:pPr>
              <w:rPr>
                <w:sz w:val="18"/>
                <w:szCs w:val="18"/>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rPr>
            </w:pPr>
            <w:r w:rsidRPr="00844729">
              <w:rPr>
                <w:sz w:val="20"/>
                <w:szCs w:val="20"/>
                <w:lang w:val="en-US"/>
              </w:rPr>
              <w:t>Wi</w:t>
            </w:r>
            <w:r w:rsidRPr="00844729">
              <w:rPr>
                <w:sz w:val="20"/>
                <w:szCs w:val="20"/>
              </w:rPr>
              <w:t>-</w:t>
            </w:r>
            <w:r w:rsidRPr="00844729">
              <w:rPr>
                <w:sz w:val="20"/>
                <w:szCs w:val="20"/>
                <w:lang w:val="en-US"/>
              </w:rPr>
              <w:t>Fi</w:t>
            </w:r>
          </w:p>
        </w:tc>
        <w:tc>
          <w:tcPr>
            <w:tcW w:w="1174" w:type="dxa"/>
          </w:tcPr>
          <w:p w:rsidR="00B416B3" w:rsidRPr="00844729" w:rsidRDefault="00B416B3" w:rsidP="0065306A">
            <w:pPr>
              <w:rPr>
                <w:sz w:val="20"/>
                <w:szCs w:val="20"/>
                <w:lang w:val="en-US"/>
              </w:rPr>
            </w:pPr>
            <w:r w:rsidRPr="00844729">
              <w:rPr>
                <w:sz w:val="20"/>
                <w:szCs w:val="20"/>
              </w:rPr>
              <w:t>102</w:t>
            </w:r>
            <w:r w:rsidRPr="00844729">
              <w:rPr>
                <w:sz w:val="20"/>
                <w:szCs w:val="20"/>
                <w:lang w:val="en-US"/>
              </w:rPr>
              <w:t>4</w:t>
            </w:r>
          </w:p>
        </w:tc>
      </w:tr>
      <w:tr w:rsidR="00B416B3" w:rsidRPr="00844729" w:rsidTr="0065306A">
        <w:trPr>
          <w:trHeight w:val="271"/>
        </w:trPr>
        <w:tc>
          <w:tcPr>
            <w:tcW w:w="396" w:type="dxa"/>
            <w:vMerge w:val="restart"/>
          </w:tcPr>
          <w:p w:rsidR="00B416B3" w:rsidRPr="00844729" w:rsidRDefault="00B416B3" w:rsidP="0065306A">
            <w:pPr>
              <w:rPr>
                <w:sz w:val="18"/>
                <w:szCs w:val="18"/>
              </w:rPr>
            </w:pPr>
            <w:r w:rsidRPr="00844729">
              <w:rPr>
                <w:sz w:val="18"/>
                <w:szCs w:val="18"/>
              </w:rPr>
              <w:t>2</w:t>
            </w:r>
          </w:p>
        </w:tc>
        <w:tc>
          <w:tcPr>
            <w:tcW w:w="2450" w:type="dxa"/>
            <w:vMerge w:val="restart"/>
            <w:shd w:val="clear" w:color="auto" w:fill="auto"/>
            <w:noWrap/>
          </w:tcPr>
          <w:p w:rsidR="00B416B3" w:rsidRPr="00844729" w:rsidRDefault="00B416B3" w:rsidP="0065306A">
            <w:pPr>
              <w:rPr>
                <w:sz w:val="20"/>
                <w:szCs w:val="20"/>
              </w:rPr>
            </w:pPr>
            <w:r w:rsidRPr="00844729">
              <w:rPr>
                <w:sz w:val="20"/>
                <w:szCs w:val="20"/>
              </w:rPr>
              <w:t>ЭО г.Нальчика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rPr>
            </w:pPr>
            <w:r w:rsidRPr="00844729">
              <w:rPr>
                <w:sz w:val="20"/>
                <w:szCs w:val="20"/>
              </w:rPr>
              <w:t xml:space="preserve">ВОЛС </w:t>
            </w:r>
            <w:r w:rsidRPr="00844729">
              <w:rPr>
                <w:sz w:val="20"/>
                <w:szCs w:val="20"/>
              </w:rPr>
              <w:tab/>
            </w:r>
          </w:p>
        </w:tc>
        <w:tc>
          <w:tcPr>
            <w:tcW w:w="1174" w:type="dxa"/>
          </w:tcPr>
          <w:p w:rsidR="00B416B3" w:rsidRPr="00844729" w:rsidRDefault="00B416B3" w:rsidP="0065306A">
            <w:pPr>
              <w:rPr>
                <w:sz w:val="20"/>
                <w:szCs w:val="20"/>
                <w:lang w:val="en-US"/>
              </w:rPr>
            </w:pPr>
            <w:r w:rsidRPr="00844729">
              <w:rPr>
                <w:sz w:val="20"/>
                <w:szCs w:val="20"/>
              </w:rPr>
              <w:t>2048</w:t>
            </w:r>
          </w:p>
        </w:tc>
      </w:tr>
      <w:tr w:rsidR="00B416B3" w:rsidRPr="00844729" w:rsidTr="0065306A">
        <w:trPr>
          <w:trHeight w:val="276"/>
        </w:trPr>
        <w:tc>
          <w:tcPr>
            <w:tcW w:w="396" w:type="dxa"/>
            <w:vMerge/>
          </w:tcPr>
          <w:p w:rsidR="00B416B3" w:rsidRPr="00844729" w:rsidRDefault="00B416B3" w:rsidP="0065306A">
            <w:pPr>
              <w:rPr>
                <w:sz w:val="18"/>
                <w:szCs w:val="18"/>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56"/>
        </w:trPr>
        <w:tc>
          <w:tcPr>
            <w:tcW w:w="396" w:type="dxa"/>
            <w:vMerge w:val="restart"/>
          </w:tcPr>
          <w:p w:rsidR="00B416B3" w:rsidRPr="00844729" w:rsidRDefault="00B416B3" w:rsidP="0065306A">
            <w:pPr>
              <w:rPr>
                <w:sz w:val="18"/>
                <w:szCs w:val="18"/>
              </w:rPr>
            </w:pPr>
            <w:r w:rsidRPr="00844729">
              <w:rPr>
                <w:sz w:val="18"/>
                <w:szCs w:val="18"/>
              </w:rPr>
              <w:t>3</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 xml:space="preserve">ЭО г.Баксан, Баксанского района </w:t>
            </w:r>
          </w:p>
        </w:tc>
        <w:tc>
          <w:tcPr>
            <w:tcW w:w="3088" w:type="dxa"/>
            <w:shd w:val="clear" w:color="auto" w:fill="auto"/>
            <w:noWrap/>
            <w:vAlign w:val="center"/>
          </w:tcPr>
          <w:p w:rsidR="00B416B3" w:rsidRPr="00844729" w:rsidRDefault="00B416B3" w:rsidP="0065306A">
            <w:pPr>
              <w:jc w:val="center"/>
              <w:rPr>
                <w:sz w:val="20"/>
                <w:szCs w:val="20"/>
                <w:lang w:val="en-US"/>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ВОЛС</w:t>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259"/>
        </w:trPr>
        <w:tc>
          <w:tcPr>
            <w:tcW w:w="396" w:type="dxa"/>
            <w:vMerge/>
          </w:tcPr>
          <w:p w:rsidR="00B416B3" w:rsidRPr="00844729" w:rsidRDefault="00B416B3" w:rsidP="0065306A">
            <w:pPr>
              <w:rPr>
                <w:sz w:val="18"/>
                <w:szCs w:val="18"/>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lang w:val="en-US"/>
              </w:rPr>
            </w:pPr>
            <w:r w:rsidRPr="00844729">
              <w:rPr>
                <w:sz w:val="20"/>
                <w:szCs w:val="20"/>
                <w:lang w:val="en-US"/>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61"/>
        </w:trPr>
        <w:tc>
          <w:tcPr>
            <w:tcW w:w="396" w:type="dxa"/>
            <w:vMerge w:val="restart"/>
          </w:tcPr>
          <w:p w:rsidR="00B416B3" w:rsidRPr="00844729" w:rsidRDefault="00B416B3" w:rsidP="0065306A">
            <w:pPr>
              <w:rPr>
                <w:sz w:val="18"/>
                <w:szCs w:val="18"/>
                <w:lang w:val="en-US"/>
              </w:rPr>
            </w:pPr>
            <w:r w:rsidRPr="00844729">
              <w:rPr>
                <w:sz w:val="18"/>
                <w:szCs w:val="18"/>
                <w:lang w:val="en-US"/>
              </w:rPr>
              <w:t>4</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Зольского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 xml:space="preserve">ADSL </w:t>
            </w:r>
          </w:p>
        </w:tc>
        <w:tc>
          <w:tcPr>
            <w:tcW w:w="1174" w:type="dxa"/>
          </w:tcPr>
          <w:p w:rsidR="00B416B3" w:rsidRPr="00844729" w:rsidRDefault="00B416B3" w:rsidP="0065306A">
            <w:pPr>
              <w:rPr>
                <w:sz w:val="20"/>
                <w:szCs w:val="20"/>
                <w:lang w:val="en-US"/>
              </w:rPr>
            </w:pPr>
            <w:r w:rsidRPr="00844729">
              <w:rPr>
                <w:sz w:val="20"/>
                <w:szCs w:val="20"/>
                <w:lang w:val="en-US"/>
              </w:rPr>
              <w:t>512</w:t>
            </w:r>
          </w:p>
        </w:tc>
      </w:tr>
      <w:tr w:rsidR="00B416B3" w:rsidRPr="00844729" w:rsidTr="0065306A">
        <w:trPr>
          <w:trHeight w:val="280"/>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198"/>
        </w:trPr>
        <w:tc>
          <w:tcPr>
            <w:tcW w:w="396" w:type="dxa"/>
            <w:vMerge w:val="restart"/>
          </w:tcPr>
          <w:p w:rsidR="00B416B3" w:rsidRPr="00844729" w:rsidRDefault="00B416B3" w:rsidP="0065306A">
            <w:pPr>
              <w:rPr>
                <w:sz w:val="18"/>
                <w:szCs w:val="18"/>
                <w:lang w:val="en-US"/>
              </w:rPr>
            </w:pPr>
            <w:r w:rsidRPr="00844729">
              <w:rPr>
                <w:sz w:val="18"/>
                <w:szCs w:val="18"/>
                <w:lang w:val="en-US"/>
              </w:rPr>
              <w:t>5</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Лескенского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rPr>
            </w:pPr>
            <w:r w:rsidRPr="00844729">
              <w:rPr>
                <w:sz w:val="20"/>
                <w:szCs w:val="20"/>
              </w:rPr>
              <w:t xml:space="preserve">ADSL </w:t>
            </w:r>
          </w:p>
        </w:tc>
        <w:tc>
          <w:tcPr>
            <w:tcW w:w="1174" w:type="dxa"/>
          </w:tcPr>
          <w:p w:rsidR="00B416B3" w:rsidRPr="00844729" w:rsidRDefault="00B416B3" w:rsidP="0065306A">
            <w:pPr>
              <w:rPr>
                <w:sz w:val="20"/>
                <w:szCs w:val="20"/>
              </w:rPr>
            </w:pPr>
            <w:r w:rsidRPr="00844729">
              <w:rPr>
                <w:sz w:val="20"/>
                <w:szCs w:val="20"/>
              </w:rPr>
              <w:t>512</w:t>
            </w:r>
          </w:p>
        </w:tc>
      </w:tr>
      <w:tr w:rsidR="00B416B3" w:rsidRPr="00844729" w:rsidTr="0065306A">
        <w:trPr>
          <w:trHeight w:val="229"/>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132"/>
        </w:trPr>
        <w:tc>
          <w:tcPr>
            <w:tcW w:w="396" w:type="dxa"/>
            <w:vMerge w:val="restart"/>
          </w:tcPr>
          <w:p w:rsidR="00B416B3" w:rsidRPr="00844729" w:rsidRDefault="00B416B3" w:rsidP="0065306A">
            <w:pPr>
              <w:rPr>
                <w:sz w:val="18"/>
                <w:szCs w:val="18"/>
                <w:lang w:val="en-US"/>
              </w:rPr>
            </w:pPr>
            <w:r w:rsidRPr="00844729">
              <w:rPr>
                <w:sz w:val="18"/>
                <w:szCs w:val="18"/>
                <w:lang w:val="en-US"/>
              </w:rPr>
              <w:t>6</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Майского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 xml:space="preserve">ВОЛС </w:t>
            </w:r>
            <w:r w:rsidRPr="00844729">
              <w:rPr>
                <w:sz w:val="20"/>
                <w:szCs w:val="20"/>
                <w:lang w:val="en-US"/>
              </w:rPr>
              <w:tab/>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177"/>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60"/>
        </w:trPr>
        <w:tc>
          <w:tcPr>
            <w:tcW w:w="396" w:type="dxa"/>
            <w:vMerge w:val="restart"/>
          </w:tcPr>
          <w:p w:rsidR="00B416B3" w:rsidRPr="00844729" w:rsidRDefault="00B416B3" w:rsidP="0065306A">
            <w:pPr>
              <w:rPr>
                <w:sz w:val="18"/>
                <w:szCs w:val="18"/>
                <w:lang w:val="en-US"/>
              </w:rPr>
            </w:pPr>
            <w:r w:rsidRPr="00844729">
              <w:rPr>
                <w:sz w:val="18"/>
                <w:szCs w:val="18"/>
                <w:lang w:val="en-US"/>
              </w:rPr>
              <w:t>7</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Прохладненского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ВОЛС</w:t>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277"/>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79"/>
        </w:trPr>
        <w:tc>
          <w:tcPr>
            <w:tcW w:w="396" w:type="dxa"/>
            <w:vMerge w:val="restart"/>
          </w:tcPr>
          <w:p w:rsidR="00B416B3" w:rsidRPr="00844729" w:rsidRDefault="00B416B3" w:rsidP="0065306A">
            <w:pPr>
              <w:rPr>
                <w:sz w:val="18"/>
                <w:szCs w:val="18"/>
                <w:lang w:val="en-US"/>
              </w:rPr>
            </w:pPr>
            <w:r w:rsidRPr="00844729">
              <w:rPr>
                <w:sz w:val="18"/>
                <w:szCs w:val="18"/>
                <w:lang w:val="en-US"/>
              </w:rPr>
              <w:t>8</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Терского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ADSL</w:t>
            </w:r>
          </w:p>
        </w:tc>
        <w:tc>
          <w:tcPr>
            <w:tcW w:w="1174" w:type="dxa"/>
          </w:tcPr>
          <w:p w:rsidR="00B416B3" w:rsidRPr="00844729" w:rsidRDefault="00B416B3" w:rsidP="0065306A">
            <w:pPr>
              <w:rPr>
                <w:sz w:val="20"/>
                <w:szCs w:val="20"/>
                <w:lang w:val="en-US"/>
              </w:rPr>
            </w:pPr>
            <w:r w:rsidRPr="00844729">
              <w:rPr>
                <w:sz w:val="20"/>
                <w:szCs w:val="20"/>
                <w:lang w:val="en-US"/>
              </w:rPr>
              <w:t>512</w:t>
            </w:r>
          </w:p>
        </w:tc>
      </w:tr>
      <w:tr w:rsidR="00B416B3" w:rsidRPr="00844729" w:rsidTr="0065306A">
        <w:trPr>
          <w:trHeight w:val="270"/>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81"/>
        </w:trPr>
        <w:tc>
          <w:tcPr>
            <w:tcW w:w="396" w:type="dxa"/>
            <w:vMerge w:val="restart"/>
          </w:tcPr>
          <w:p w:rsidR="00B416B3" w:rsidRPr="00844729" w:rsidRDefault="00B416B3" w:rsidP="0065306A">
            <w:pPr>
              <w:rPr>
                <w:sz w:val="18"/>
                <w:szCs w:val="18"/>
                <w:lang w:val="en-US"/>
              </w:rPr>
            </w:pPr>
            <w:r w:rsidRPr="00844729">
              <w:rPr>
                <w:sz w:val="18"/>
                <w:szCs w:val="18"/>
                <w:lang w:val="en-US"/>
              </w:rPr>
              <w:t>9</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Чегемского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ВОЛС</w:t>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258"/>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66"/>
        </w:trPr>
        <w:tc>
          <w:tcPr>
            <w:tcW w:w="396" w:type="dxa"/>
            <w:vMerge w:val="restart"/>
          </w:tcPr>
          <w:p w:rsidR="00B416B3" w:rsidRPr="00844729" w:rsidRDefault="00B416B3" w:rsidP="0065306A">
            <w:pPr>
              <w:rPr>
                <w:sz w:val="18"/>
                <w:szCs w:val="18"/>
                <w:lang w:val="en-US"/>
              </w:rPr>
            </w:pPr>
            <w:r w:rsidRPr="00844729">
              <w:rPr>
                <w:sz w:val="18"/>
                <w:szCs w:val="18"/>
                <w:lang w:val="en-US"/>
              </w:rPr>
              <w:lastRenderedPageBreak/>
              <w:t>10</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Черекского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ADSL</w:t>
            </w:r>
          </w:p>
        </w:tc>
        <w:tc>
          <w:tcPr>
            <w:tcW w:w="1174" w:type="dxa"/>
          </w:tcPr>
          <w:p w:rsidR="00B416B3" w:rsidRPr="00844729" w:rsidRDefault="00B416B3" w:rsidP="0065306A">
            <w:pPr>
              <w:rPr>
                <w:sz w:val="20"/>
                <w:szCs w:val="20"/>
                <w:lang w:val="en-US"/>
              </w:rPr>
            </w:pPr>
            <w:r w:rsidRPr="00844729">
              <w:rPr>
                <w:sz w:val="20"/>
                <w:szCs w:val="20"/>
                <w:lang w:val="en-US"/>
              </w:rPr>
              <w:t>512</w:t>
            </w:r>
          </w:p>
        </w:tc>
      </w:tr>
      <w:tr w:rsidR="00B416B3" w:rsidRPr="00844729" w:rsidTr="0065306A">
        <w:trPr>
          <w:trHeight w:val="269"/>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bCs/>
                <w:sz w:val="20"/>
                <w:szCs w:val="20"/>
              </w:rPr>
            </w:pPr>
            <w:r w:rsidRPr="00844729">
              <w:rPr>
                <w:bCs/>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74"/>
        </w:trPr>
        <w:tc>
          <w:tcPr>
            <w:tcW w:w="396" w:type="dxa"/>
            <w:vMerge w:val="restart"/>
          </w:tcPr>
          <w:p w:rsidR="00B416B3" w:rsidRPr="00844729" w:rsidRDefault="00B416B3" w:rsidP="0065306A">
            <w:pPr>
              <w:rPr>
                <w:sz w:val="18"/>
                <w:szCs w:val="18"/>
                <w:lang w:val="en-US"/>
              </w:rPr>
            </w:pPr>
            <w:r w:rsidRPr="00844729">
              <w:rPr>
                <w:sz w:val="18"/>
                <w:szCs w:val="18"/>
                <w:lang w:val="en-US"/>
              </w:rPr>
              <w:t>11</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Урванского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ВОЛС</w:t>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291"/>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54"/>
        </w:trPr>
        <w:tc>
          <w:tcPr>
            <w:tcW w:w="396" w:type="dxa"/>
            <w:vMerge w:val="restart"/>
          </w:tcPr>
          <w:p w:rsidR="00B416B3" w:rsidRPr="00844729" w:rsidRDefault="00B416B3" w:rsidP="0065306A">
            <w:pPr>
              <w:rPr>
                <w:sz w:val="18"/>
                <w:szCs w:val="18"/>
                <w:lang w:val="en-US"/>
              </w:rPr>
            </w:pPr>
            <w:r w:rsidRPr="00844729">
              <w:rPr>
                <w:sz w:val="18"/>
                <w:szCs w:val="18"/>
                <w:lang w:val="en-US"/>
              </w:rPr>
              <w:t>12</w:t>
            </w:r>
          </w:p>
        </w:tc>
        <w:tc>
          <w:tcPr>
            <w:tcW w:w="2450" w:type="dxa"/>
            <w:vMerge w:val="restart"/>
            <w:shd w:val="clear" w:color="auto" w:fill="auto"/>
            <w:noWrap/>
            <w:hideMark/>
          </w:tcPr>
          <w:p w:rsidR="00B416B3" w:rsidRPr="00844729" w:rsidRDefault="00B416B3" w:rsidP="0065306A">
            <w:pPr>
              <w:rPr>
                <w:sz w:val="20"/>
                <w:szCs w:val="20"/>
              </w:rPr>
            </w:pPr>
            <w:r w:rsidRPr="00844729">
              <w:rPr>
                <w:sz w:val="20"/>
                <w:szCs w:val="20"/>
              </w:rPr>
              <w:t>ЭО Эльбрусского района</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ВОЛС</w:t>
            </w:r>
          </w:p>
        </w:tc>
        <w:tc>
          <w:tcPr>
            <w:tcW w:w="1174" w:type="dxa"/>
          </w:tcPr>
          <w:p w:rsidR="00B416B3" w:rsidRPr="00844729" w:rsidRDefault="00B416B3" w:rsidP="0065306A">
            <w:pPr>
              <w:rPr>
                <w:sz w:val="20"/>
                <w:szCs w:val="20"/>
                <w:lang w:val="en-US"/>
              </w:rPr>
            </w:pPr>
            <w:r w:rsidRPr="00844729">
              <w:rPr>
                <w:sz w:val="20"/>
                <w:szCs w:val="20"/>
                <w:lang w:val="en-US"/>
              </w:rPr>
              <w:t>2048</w:t>
            </w:r>
          </w:p>
        </w:tc>
      </w:tr>
      <w:tr w:rsidR="00B416B3" w:rsidRPr="00844729" w:rsidTr="0065306A">
        <w:trPr>
          <w:trHeight w:val="285"/>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lang w:val="en-US"/>
              </w:rPr>
            </w:pPr>
            <w:r w:rsidRPr="00844729">
              <w:rPr>
                <w:sz w:val="20"/>
                <w:szCs w:val="20"/>
                <w:lang w:val="en-US"/>
              </w:rPr>
              <w:t>Wi-Fi</w:t>
            </w:r>
          </w:p>
        </w:tc>
        <w:tc>
          <w:tcPr>
            <w:tcW w:w="1174" w:type="dxa"/>
          </w:tcPr>
          <w:p w:rsidR="00B416B3" w:rsidRPr="00844729" w:rsidRDefault="00B416B3" w:rsidP="0065306A">
            <w:pPr>
              <w:rPr>
                <w:sz w:val="20"/>
                <w:szCs w:val="20"/>
                <w:lang w:val="en-US"/>
              </w:rPr>
            </w:pPr>
            <w:r w:rsidRPr="00844729">
              <w:rPr>
                <w:sz w:val="20"/>
                <w:szCs w:val="20"/>
                <w:lang w:val="en-US"/>
              </w:rPr>
              <w:t>1024</w:t>
            </w:r>
          </w:p>
        </w:tc>
      </w:tr>
      <w:tr w:rsidR="00B416B3" w:rsidRPr="00844729" w:rsidTr="0065306A">
        <w:trPr>
          <w:trHeight w:val="262"/>
        </w:trPr>
        <w:tc>
          <w:tcPr>
            <w:tcW w:w="396" w:type="dxa"/>
            <w:vMerge w:val="restart"/>
          </w:tcPr>
          <w:p w:rsidR="00B416B3" w:rsidRPr="00844729" w:rsidRDefault="00B416B3" w:rsidP="0065306A">
            <w:pPr>
              <w:rPr>
                <w:sz w:val="18"/>
                <w:szCs w:val="18"/>
                <w:lang w:val="en-US"/>
              </w:rPr>
            </w:pPr>
            <w:r w:rsidRPr="00844729">
              <w:rPr>
                <w:sz w:val="18"/>
                <w:szCs w:val="18"/>
                <w:lang w:val="en-US"/>
              </w:rPr>
              <w:t>13</w:t>
            </w:r>
          </w:p>
        </w:tc>
        <w:tc>
          <w:tcPr>
            <w:tcW w:w="2450" w:type="dxa"/>
            <w:vMerge w:val="restart"/>
            <w:shd w:val="clear" w:color="auto" w:fill="auto"/>
            <w:noWrap/>
          </w:tcPr>
          <w:p w:rsidR="00B416B3" w:rsidRPr="00844729" w:rsidRDefault="00B416B3" w:rsidP="0065306A">
            <w:pPr>
              <w:rPr>
                <w:sz w:val="20"/>
                <w:szCs w:val="20"/>
              </w:rPr>
            </w:pPr>
            <w:r w:rsidRPr="00844729">
              <w:rPr>
                <w:sz w:val="20"/>
                <w:szCs w:val="20"/>
              </w:rPr>
              <w:t>ЦОК1</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rPr>
            </w:pPr>
            <w:r w:rsidRPr="00844729">
              <w:rPr>
                <w:sz w:val="20"/>
                <w:szCs w:val="20"/>
              </w:rPr>
              <w:t>ADSL</w:t>
            </w:r>
          </w:p>
        </w:tc>
        <w:tc>
          <w:tcPr>
            <w:tcW w:w="1174" w:type="dxa"/>
          </w:tcPr>
          <w:p w:rsidR="00B416B3" w:rsidRPr="00844729" w:rsidRDefault="00B416B3" w:rsidP="0065306A">
            <w:pPr>
              <w:rPr>
                <w:sz w:val="20"/>
                <w:szCs w:val="20"/>
              </w:rPr>
            </w:pPr>
            <w:r w:rsidRPr="00844729">
              <w:rPr>
                <w:sz w:val="20"/>
                <w:szCs w:val="20"/>
              </w:rPr>
              <w:t>1024</w:t>
            </w:r>
          </w:p>
        </w:tc>
      </w:tr>
      <w:tr w:rsidR="00B416B3" w:rsidRPr="00844729" w:rsidTr="0065306A">
        <w:trPr>
          <w:trHeight w:val="279"/>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sz w:val="20"/>
                <w:szCs w:val="20"/>
              </w:rPr>
            </w:pPr>
            <w:r w:rsidRPr="00844729">
              <w:rPr>
                <w:sz w:val="20"/>
                <w:szCs w:val="20"/>
              </w:rPr>
              <w:t>ОАО «Мегафон»</w:t>
            </w:r>
          </w:p>
        </w:tc>
        <w:tc>
          <w:tcPr>
            <w:tcW w:w="2370" w:type="dxa"/>
          </w:tcPr>
          <w:p w:rsidR="00B416B3" w:rsidRPr="00844729" w:rsidRDefault="00B416B3" w:rsidP="0065306A">
            <w:pPr>
              <w:rPr>
                <w:sz w:val="20"/>
                <w:szCs w:val="20"/>
              </w:rPr>
            </w:pPr>
            <w:r w:rsidRPr="00844729">
              <w:rPr>
                <w:sz w:val="20"/>
                <w:szCs w:val="20"/>
              </w:rPr>
              <w:t>Wi-Fi</w:t>
            </w:r>
          </w:p>
        </w:tc>
        <w:tc>
          <w:tcPr>
            <w:tcW w:w="1174" w:type="dxa"/>
          </w:tcPr>
          <w:p w:rsidR="00B416B3" w:rsidRPr="00844729" w:rsidRDefault="00B416B3" w:rsidP="0065306A">
            <w:pPr>
              <w:rPr>
                <w:sz w:val="20"/>
                <w:szCs w:val="20"/>
              </w:rPr>
            </w:pPr>
            <w:r w:rsidRPr="00844729">
              <w:rPr>
                <w:sz w:val="20"/>
                <w:szCs w:val="20"/>
              </w:rPr>
              <w:t>1024</w:t>
            </w:r>
          </w:p>
        </w:tc>
      </w:tr>
      <w:tr w:rsidR="00B416B3" w:rsidRPr="00844729" w:rsidTr="0065306A">
        <w:trPr>
          <w:trHeight w:val="284"/>
        </w:trPr>
        <w:tc>
          <w:tcPr>
            <w:tcW w:w="396" w:type="dxa"/>
            <w:vMerge w:val="restart"/>
          </w:tcPr>
          <w:p w:rsidR="00B416B3" w:rsidRPr="00844729" w:rsidRDefault="00B416B3" w:rsidP="0065306A">
            <w:pPr>
              <w:rPr>
                <w:sz w:val="18"/>
                <w:szCs w:val="18"/>
                <w:lang w:val="en-US"/>
              </w:rPr>
            </w:pPr>
            <w:r w:rsidRPr="00844729">
              <w:rPr>
                <w:sz w:val="18"/>
                <w:szCs w:val="18"/>
                <w:lang w:val="en-US"/>
              </w:rPr>
              <w:t>14</w:t>
            </w:r>
          </w:p>
        </w:tc>
        <w:tc>
          <w:tcPr>
            <w:tcW w:w="2450" w:type="dxa"/>
            <w:vMerge w:val="restart"/>
            <w:shd w:val="clear" w:color="auto" w:fill="auto"/>
            <w:noWrap/>
          </w:tcPr>
          <w:p w:rsidR="00B416B3" w:rsidRPr="00844729" w:rsidRDefault="00B416B3" w:rsidP="0065306A">
            <w:pPr>
              <w:rPr>
                <w:sz w:val="20"/>
                <w:szCs w:val="20"/>
              </w:rPr>
            </w:pPr>
            <w:r w:rsidRPr="00844729">
              <w:rPr>
                <w:sz w:val="20"/>
                <w:szCs w:val="20"/>
              </w:rPr>
              <w:t>ЦОК2</w:t>
            </w:r>
          </w:p>
        </w:tc>
        <w:tc>
          <w:tcPr>
            <w:tcW w:w="3088" w:type="dxa"/>
            <w:shd w:val="clear" w:color="auto" w:fill="auto"/>
            <w:noWrap/>
            <w:vAlign w:val="center"/>
          </w:tcPr>
          <w:p w:rsidR="00B416B3" w:rsidRPr="00844729" w:rsidRDefault="00B416B3" w:rsidP="0065306A">
            <w:pPr>
              <w:jc w:val="center"/>
              <w:rPr>
                <w:sz w:val="20"/>
                <w:szCs w:val="20"/>
              </w:rPr>
            </w:pPr>
            <w:r w:rsidRPr="00844729">
              <w:rPr>
                <w:bCs/>
                <w:sz w:val="20"/>
                <w:szCs w:val="20"/>
              </w:rPr>
              <w:t>ОАО "Ростелеком</w:t>
            </w:r>
          </w:p>
        </w:tc>
        <w:tc>
          <w:tcPr>
            <w:tcW w:w="2370" w:type="dxa"/>
          </w:tcPr>
          <w:p w:rsidR="00B416B3" w:rsidRPr="00844729" w:rsidRDefault="00B416B3" w:rsidP="0065306A">
            <w:pPr>
              <w:rPr>
                <w:sz w:val="20"/>
                <w:szCs w:val="20"/>
                <w:lang w:val="en-US"/>
              </w:rPr>
            </w:pPr>
            <w:r w:rsidRPr="00844729">
              <w:rPr>
                <w:sz w:val="20"/>
                <w:szCs w:val="20"/>
                <w:lang w:val="en-US"/>
              </w:rPr>
              <w:t>ADSL</w:t>
            </w:r>
          </w:p>
        </w:tc>
        <w:tc>
          <w:tcPr>
            <w:tcW w:w="1174" w:type="dxa"/>
          </w:tcPr>
          <w:p w:rsidR="00B416B3" w:rsidRPr="00844729" w:rsidRDefault="00B416B3" w:rsidP="0065306A">
            <w:pPr>
              <w:rPr>
                <w:sz w:val="20"/>
                <w:szCs w:val="20"/>
              </w:rPr>
            </w:pPr>
            <w:r w:rsidRPr="00844729">
              <w:rPr>
                <w:sz w:val="20"/>
                <w:szCs w:val="20"/>
              </w:rPr>
              <w:t>1024</w:t>
            </w:r>
          </w:p>
        </w:tc>
      </w:tr>
      <w:tr w:rsidR="00B416B3" w:rsidRPr="00844729" w:rsidTr="0065306A">
        <w:trPr>
          <w:trHeight w:val="259"/>
        </w:trPr>
        <w:tc>
          <w:tcPr>
            <w:tcW w:w="396" w:type="dxa"/>
            <w:vMerge/>
          </w:tcPr>
          <w:p w:rsidR="00B416B3" w:rsidRPr="00844729" w:rsidRDefault="00B416B3" w:rsidP="0065306A">
            <w:pPr>
              <w:rPr>
                <w:sz w:val="18"/>
                <w:szCs w:val="18"/>
                <w:lang w:val="en-US"/>
              </w:rPr>
            </w:pPr>
          </w:p>
        </w:tc>
        <w:tc>
          <w:tcPr>
            <w:tcW w:w="2450" w:type="dxa"/>
            <w:vMerge/>
            <w:shd w:val="clear" w:color="auto" w:fill="auto"/>
            <w:noWrap/>
          </w:tcPr>
          <w:p w:rsidR="00B416B3" w:rsidRPr="00844729" w:rsidRDefault="00B416B3" w:rsidP="0065306A">
            <w:pPr>
              <w:rPr>
                <w:sz w:val="20"/>
                <w:szCs w:val="20"/>
              </w:rPr>
            </w:pPr>
          </w:p>
        </w:tc>
        <w:tc>
          <w:tcPr>
            <w:tcW w:w="3088" w:type="dxa"/>
            <w:shd w:val="clear" w:color="auto" w:fill="auto"/>
            <w:noWrap/>
            <w:vAlign w:val="center"/>
          </w:tcPr>
          <w:p w:rsidR="00B416B3" w:rsidRPr="00844729" w:rsidRDefault="00B416B3" w:rsidP="0065306A">
            <w:pPr>
              <w:jc w:val="center"/>
              <w:rPr>
                <w:bCs/>
                <w:sz w:val="20"/>
                <w:szCs w:val="20"/>
              </w:rPr>
            </w:pPr>
            <w:r w:rsidRPr="00844729">
              <w:rPr>
                <w:bCs/>
                <w:sz w:val="20"/>
                <w:szCs w:val="20"/>
              </w:rPr>
              <w:t>ОАО «Мегафон»</w:t>
            </w:r>
          </w:p>
        </w:tc>
        <w:tc>
          <w:tcPr>
            <w:tcW w:w="2370" w:type="dxa"/>
          </w:tcPr>
          <w:p w:rsidR="00B416B3" w:rsidRPr="00844729" w:rsidRDefault="00B416B3" w:rsidP="0065306A">
            <w:pPr>
              <w:rPr>
                <w:sz w:val="20"/>
                <w:szCs w:val="20"/>
              </w:rPr>
            </w:pPr>
            <w:r w:rsidRPr="00844729">
              <w:rPr>
                <w:sz w:val="20"/>
                <w:szCs w:val="20"/>
              </w:rPr>
              <w:t>Wi-Fi</w:t>
            </w:r>
          </w:p>
        </w:tc>
        <w:tc>
          <w:tcPr>
            <w:tcW w:w="1174" w:type="dxa"/>
          </w:tcPr>
          <w:p w:rsidR="00B416B3" w:rsidRPr="00844729" w:rsidRDefault="00B416B3" w:rsidP="0065306A">
            <w:pPr>
              <w:rPr>
                <w:sz w:val="20"/>
                <w:szCs w:val="20"/>
              </w:rPr>
            </w:pPr>
            <w:r w:rsidRPr="00844729">
              <w:rPr>
                <w:sz w:val="20"/>
                <w:szCs w:val="20"/>
              </w:rPr>
              <w:t>1024</w:t>
            </w:r>
          </w:p>
        </w:tc>
      </w:tr>
    </w:tbl>
    <w:p w:rsidR="00B416B3" w:rsidRPr="00844729" w:rsidRDefault="00B416B3" w:rsidP="00B416B3">
      <w:pPr>
        <w:ind w:left="708"/>
        <w:jc w:val="both"/>
        <w:rPr>
          <w:i/>
          <w:iCs/>
          <w:szCs w:val="20"/>
          <w:lang w:val="en-US"/>
        </w:rPr>
      </w:pPr>
    </w:p>
    <w:p w:rsidR="00B416B3" w:rsidRPr="00844729" w:rsidRDefault="00B416B3" w:rsidP="00B416B3">
      <w:pPr>
        <w:ind w:left="708"/>
        <w:jc w:val="both"/>
        <w:rPr>
          <w:i/>
          <w:iCs/>
          <w:szCs w:val="20"/>
          <w:lang w:val="en-US"/>
        </w:rPr>
      </w:pPr>
    </w:p>
    <w:p w:rsidR="00B416B3" w:rsidRPr="00844729" w:rsidRDefault="00B416B3" w:rsidP="00B416B3">
      <w:pPr>
        <w:ind w:left="24" w:firstLine="685"/>
        <w:rPr>
          <w:i/>
          <w:iCs/>
          <w:szCs w:val="20"/>
        </w:rPr>
      </w:pPr>
      <w:r w:rsidRPr="00844729">
        <w:rPr>
          <w:szCs w:val="20"/>
        </w:rPr>
        <w:t>В части развития информационной безопасности:</w:t>
      </w:r>
    </w:p>
    <w:p w:rsidR="00B416B3" w:rsidRPr="00844729" w:rsidRDefault="00B416B3" w:rsidP="00230DF1">
      <w:pPr>
        <w:numPr>
          <w:ilvl w:val="0"/>
          <w:numId w:val="7"/>
        </w:numPr>
        <w:ind w:left="993" w:firstLine="0"/>
        <w:jc w:val="both"/>
        <w:rPr>
          <w:szCs w:val="20"/>
        </w:rPr>
      </w:pPr>
      <w:r w:rsidRPr="00844729">
        <w:rPr>
          <w:szCs w:val="20"/>
        </w:rPr>
        <w:t>В соответствии с Федеральным законом «О персональных данных»</w:t>
      </w:r>
      <w:r w:rsidRPr="00844729">
        <w:rPr>
          <w:szCs w:val="20"/>
        </w:rPr>
        <w:br/>
        <w:t>от 27 июля 2006 года N 152-ФЗ и аттестации рабочих мест в соответствии с классом защищенности 1Г и 3-м уровнем защищенности ПД, был получен</w:t>
      </w:r>
      <w:r w:rsidRPr="00844729">
        <w:rPr>
          <w:szCs w:val="20"/>
        </w:rPr>
        <w:br/>
        <w:t>соответствующий сертификат.</w:t>
      </w:r>
    </w:p>
    <w:p w:rsidR="00B416B3" w:rsidRPr="00844729" w:rsidRDefault="00B416B3" w:rsidP="00B416B3">
      <w:pPr>
        <w:ind w:left="732"/>
        <w:jc w:val="both"/>
        <w:rPr>
          <w:i/>
          <w:iCs/>
          <w:szCs w:val="20"/>
        </w:rPr>
        <w:sectPr w:rsidR="00B416B3" w:rsidRPr="00844729" w:rsidSect="00B53614">
          <w:footerReference w:type="default" r:id="rId24"/>
          <w:pgSz w:w="11906" w:h="16838"/>
          <w:pgMar w:top="1134" w:right="850" w:bottom="1134" w:left="1701" w:header="708" w:footer="268" w:gutter="0"/>
          <w:pgNumType w:start="2"/>
          <w:cols w:space="708"/>
          <w:docGrid w:linePitch="360"/>
        </w:sectPr>
      </w:pPr>
    </w:p>
    <w:p w:rsidR="00B416B3" w:rsidRPr="00844729" w:rsidRDefault="00B416B3" w:rsidP="00B416B3">
      <w:pPr>
        <w:ind w:left="708"/>
        <w:jc w:val="both"/>
        <w:rPr>
          <w:i/>
          <w:iCs/>
          <w:szCs w:val="20"/>
        </w:rPr>
      </w:pPr>
      <w:r>
        <w:rPr>
          <w:i/>
          <w:iCs/>
          <w:noProof/>
          <w:szCs w:val="20"/>
        </w:rPr>
        <w:lastRenderedPageBreak/>
        <w:drawing>
          <wp:inline distT="0" distB="0" distL="0" distR="0" wp14:anchorId="4B13440B" wp14:editId="3D264239">
            <wp:extent cx="9645710" cy="6760912"/>
            <wp:effectExtent l="0" t="0" r="0" b="1905"/>
            <wp:docPr id="4" name="Рисунок 4" descr="K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B"/>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645379" cy="6760680"/>
                    </a:xfrm>
                    <a:prstGeom prst="rect">
                      <a:avLst/>
                    </a:prstGeom>
                    <a:noFill/>
                    <a:ln>
                      <a:noFill/>
                    </a:ln>
                  </pic:spPr>
                </pic:pic>
              </a:graphicData>
            </a:graphic>
          </wp:inline>
        </w:drawing>
      </w:r>
    </w:p>
    <w:p w:rsidR="00B416B3" w:rsidRPr="00844729" w:rsidRDefault="00B416B3" w:rsidP="00B416B3">
      <w:pPr>
        <w:ind w:left="708"/>
        <w:jc w:val="both"/>
        <w:rPr>
          <w:szCs w:val="20"/>
        </w:rPr>
        <w:sectPr w:rsidR="00B416B3" w:rsidRPr="00844729" w:rsidSect="00116943">
          <w:pgSz w:w="16838" w:h="11906" w:orient="landscape" w:code="9"/>
          <w:pgMar w:top="720" w:right="159" w:bottom="720" w:left="227" w:header="709" w:footer="709" w:gutter="0"/>
          <w:cols w:space="708"/>
          <w:docGrid w:linePitch="360"/>
        </w:sectPr>
      </w:pPr>
    </w:p>
    <w:p w:rsidR="00B416B3" w:rsidRPr="00844729" w:rsidRDefault="00B416B3" w:rsidP="00B416B3">
      <w:pPr>
        <w:ind w:firstLine="720"/>
        <w:jc w:val="both"/>
        <w:rPr>
          <w:szCs w:val="20"/>
        </w:rPr>
      </w:pPr>
      <w:r w:rsidRPr="00844729">
        <w:rPr>
          <w:szCs w:val="20"/>
        </w:rPr>
        <w:lastRenderedPageBreak/>
        <w:t>В ОАО «</w:t>
      </w:r>
      <w:r>
        <w:rPr>
          <w:szCs w:val="20"/>
        </w:rPr>
        <w:t>Каббалкэнерго</w:t>
      </w:r>
      <w:r w:rsidRPr="00844729">
        <w:rPr>
          <w:szCs w:val="20"/>
        </w:rPr>
        <w:t>» для автоматизации энергосбытовой деятельности  используются следующие программные комплексы:</w:t>
      </w:r>
    </w:p>
    <w:p w:rsidR="00B416B3" w:rsidRPr="00844729" w:rsidRDefault="00B416B3" w:rsidP="00230DF1">
      <w:pPr>
        <w:numPr>
          <w:ilvl w:val="0"/>
          <w:numId w:val="5"/>
        </w:numPr>
        <w:ind w:firstLine="0"/>
        <w:jc w:val="both"/>
        <w:rPr>
          <w:szCs w:val="20"/>
        </w:rPr>
      </w:pPr>
      <w:r w:rsidRPr="00844729">
        <w:rPr>
          <w:szCs w:val="20"/>
        </w:rPr>
        <w:t xml:space="preserve"> «1С-Бухгалтерия», «Зарплата и Кадры», «Документооборот» версии 8.2.;</w:t>
      </w:r>
    </w:p>
    <w:p w:rsidR="00B416B3" w:rsidRPr="00844729" w:rsidRDefault="00B416B3" w:rsidP="00230DF1">
      <w:pPr>
        <w:numPr>
          <w:ilvl w:val="0"/>
          <w:numId w:val="5"/>
        </w:numPr>
        <w:ind w:firstLine="0"/>
        <w:jc w:val="both"/>
        <w:rPr>
          <w:szCs w:val="20"/>
        </w:rPr>
      </w:pPr>
      <w:r w:rsidRPr="00844729">
        <w:rPr>
          <w:szCs w:val="20"/>
          <w:bdr w:val="none" w:sz="0" w:space="0" w:color="auto" w:frame="1"/>
        </w:rPr>
        <w:t>Внедрен</w:t>
      </w:r>
      <w:r>
        <w:rPr>
          <w:szCs w:val="20"/>
          <w:bdr w:val="none" w:sz="0" w:space="0" w:color="auto" w:frame="1"/>
        </w:rPr>
        <w:t>а</w:t>
      </w:r>
      <w:r w:rsidRPr="00844729">
        <w:rPr>
          <w:szCs w:val="20"/>
          <w:bdr w:val="none" w:sz="0" w:space="0" w:color="auto" w:frame="1"/>
        </w:rPr>
        <w:t xml:space="preserve"> </w:t>
      </w:r>
      <w:r>
        <w:rPr>
          <w:szCs w:val="20"/>
          <w:bdr w:val="none" w:sz="0" w:space="0" w:color="auto" w:frame="1"/>
        </w:rPr>
        <w:t>расчетно-</w:t>
      </w:r>
      <w:r w:rsidRPr="00844729">
        <w:rPr>
          <w:szCs w:val="20"/>
          <w:bdr w:val="none" w:sz="0" w:space="0" w:color="auto" w:frame="1"/>
        </w:rPr>
        <w:t>биллинг</w:t>
      </w:r>
      <w:r>
        <w:rPr>
          <w:szCs w:val="20"/>
          <w:bdr w:val="none" w:sz="0" w:space="0" w:color="auto" w:frame="1"/>
        </w:rPr>
        <w:t>овая система</w:t>
      </w:r>
      <w:r w:rsidRPr="00844729">
        <w:rPr>
          <w:szCs w:val="20"/>
          <w:bdr w:val="none" w:sz="0" w:space="0" w:color="auto" w:frame="1"/>
        </w:rPr>
        <w:t xml:space="preserve"> </w:t>
      </w:r>
      <w:r>
        <w:rPr>
          <w:szCs w:val="20"/>
          <w:shd w:val="clear" w:color="auto" w:fill="FFFFFF"/>
        </w:rPr>
        <w:t>«Стек-Энерго»</w:t>
      </w:r>
      <w:r w:rsidRPr="00844729">
        <w:rPr>
          <w:szCs w:val="20"/>
          <w:shd w:val="clear" w:color="auto" w:fill="FFFFFF"/>
        </w:rPr>
        <w:t>, котор</w:t>
      </w:r>
      <w:r>
        <w:rPr>
          <w:szCs w:val="20"/>
          <w:shd w:val="clear" w:color="auto" w:fill="FFFFFF"/>
        </w:rPr>
        <w:t>ая</w:t>
      </w:r>
      <w:r w:rsidRPr="00844729">
        <w:rPr>
          <w:szCs w:val="20"/>
          <w:shd w:val="clear" w:color="auto" w:fill="FFFFFF"/>
        </w:rPr>
        <w:t xml:space="preserve"> обладает следующими возможностями:</w:t>
      </w:r>
    </w:p>
    <w:p w:rsidR="00B416B3" w:rsidRPr="00844729" w:rsidRDefault="00B416B3" w:rsidP="00230DF1">
      <w:pPr>
        <w:numPr>
          <w:ilvl w:val="0"/>
          <w:numId w:val="9"/>
        </w:numPr>
        <w:jc w:val="both"/>
        <w:rPr>
          <w:szCs w:val="20"/>
        </w:rPr>
      </w:pPr>
      <w:r>
        <w:rPr>
          <w:szCs w:val="20"/>
        </w:rPr>
        <w:t>н</w:t>
      </w:r>
      <w:r w:rsidRPr="00844729">
        <w:rPr>
          <w:szCs w:val="20"/>
        </w:rPr>
        <w:t>еограниченное число расчетных алгоритмов по разным методикам (по утвержденным нормативам; по индивидуальным, общедомовым и общеквартирным приборам учета; по среднему значению; с применением социальной нормы потребления электрической энер</w:t>
      </w:r>
      <w:r>
        <w:rPr>
          <w:szCs w:val="20"/>
        </w:rPr>
        <w:t>гии);</w:t>
      </w:r>
    </w:p>
    <w:p w:rsidR="00B416B3" w:rsidRPr="00844729" w:rsidRDefault="00B416B3" w:rsidP="00230DF1">
      <w:pPr>
        <w:numPr>
          <w:ilvl w:val="0"/>
          <w:numId w:val="9"/>
        </w:numPr>
        <w:jc w:val="both"/>
        <w:rPr>
          <w:szCs w:val="20"/>
        </w:rPr>
      </w:pPr>
      <w:r>
        <w:rPr>
          <w:szCs w:val="20"/>
        </w:rPr>
        <w:t>у</w:t>
      </w:r>
      <w:r w:rsidRPr="00844729">
        <w:rPr>
          <w:szCs w:val="20"/>
        </w:rPr>
        <w:t>чет изменения расчетных величин в середине периода (например, число про</w:t>
      </w:r>
      <w:r>
        <w:rPr>
          <w:szCs w:val="20"/>
        </w:rPr>
        <w:t>писанных);</w:t>
      </w:r>
    </w:p>
    <w:p w:rsidR="00B416B3" w:rsidRPr="00844729" w:rsidRDefault="00B416B3" w:rsidP="00230DF1">
      <w:pPr>
        <w:numPr>
          <w:ilvl w:val="0"/>
          <w:numId w:val="9"/>
        </w:numPr>
        <w:jc w:val="both"/>
        <w:rPr>
          <w:szCs w:val="20"/>
        </w:rPr>
      </w:pPr>
      <w:r>
        <w:rPr>
          <w:szCs w:val="20"/>
        </w:rPr>
        <w:t>а</w:t>
      </w:r>
      <w:r w:rsidRPr="00844729">
        <w:rPr>
          <w:szCs w:val="20"/>
        </w:rPr>
        <w:t>втоматическое выполнение сложных расчетов (например, часть месяца по нормативу, а часть – по прибору учета) и перерасчетов (пересекающиеся перерасчеты по разным осно</w:t>
      </w:r>
      <w:r>
        <w:rPr>
          <w:szCs w:val="20"/>
        </w:rPr>
        <w:t>ваниям);</w:t>
      </w:r>
    </w:p>
    <w:p w:rsidR="00B416B3" w:rsidRPr="00844729" w:rsidRDefault="00B416B3" w:rsidP="00230DF1">
      <w:pPr>
        <w:numPr>
          <w:ilvl w:val="0"/>
          <w:numId w:val="9"/>
        </w:numPr>
        <w:jc w:val="both"/>
        <w:rPr>
          <w:szCs w:val="20"/>
        </w:rPr>
      </w:pPr>
      <w:r>
        <w:rPr>
          <w:szCs w:val="20"/>
        </w:rPr>
        <w:t>и</w:t>
      </w:r>
      <w:r w:rsidRPr="00844729">
        <w:rPr>
          <w:szCs w:val="20"/>
        </w:rPr>
        <w:t>сторичность изменения алгоритмов расчета — автоматический перерасчет назад за лю</w:t>
      </w:r>
      <w:r>
        <w:rPr>
          <w:szCs w:val="20"/>
        </w:rPr>
        <w:t>бой период работы системы;</w:t>
      </w:r>
    </w:p>
    <w:p w:rsidR="00B416B3" w:rsidRPr="00844729" w:rsidRDefault="00B416B3" w:rsidP="00230DF1">
      <w:pPr>
        <w:numPr>
          <w:ilvl w:val="0"/>
          <w:numId w:val="9"/>
        </w:numPr>
        <w:jc w:val="both"/>
        <w:rPr>
          <w:szCs w:val="20"/>
        </w:rPr>
      </w:pPr>
      <w:r>
        <w:rPr>
          <w:szCs w:val="20"/>
        </w:rPr>
        <w:t>п</w:t>
      </w:r>
      <w:r w:rsidRPr="00844729">
        <w:rPr>
          <w:szCs w:val="20"/>
        </w:rPr>
        <w:t>ерсонификация льгот (автоматизированный ввод информации о предоставляемых потреби</w:t>
      </w:r>
      <w:r>
        <w:rPr>
          <w:szCs w:val="20"/>
        </w:rPr>
        <w:t>телю льготах на оплату энергии);</w:t>
      </w:r>
    </w:p>
    <w:p w:rsidR="00B416B3" w:rsidRPr="00844729" w:rsidRDefault="00B416B3" w:rsidP="00230DF1">
      <w:pPr>
        <w:numPr>
          <w:ilvl w:val="0"/>
          <w:numId w:val="9"/>
        </w:numPr>
        <w:jc w:val="both"/>
        <w:rPr>
          <w:szCs w:val="20"/>
        </w:rPr>
      </w:pPr>
      <w:r>
        <w:rPr>
          <w:szCs w:val="20"/>
        </w:rPr>
        <w:t>п</w:t>
      </w:r>
      <w:r w:rsidRPr="00844729">
        <w:rPr>
          <w:szCs w:val="20"/>
        </w:rPr>
        <w:t xml:space="preserve">озволяет использовать данные </w:t>
      </w:r>
      <w:r>
        <w:rPr>
          <w:szCs w:val="20"/>
        </w:rPr>
        <w:t>АСКУЭ</w:t>
      </w:r>
      <w:r w:rsidRPr="00844729">
        <w:rPr>
          <w:szCs w:val="20"/>
        </w:rPr>
        <w:t>, предоставляемые сетевой компанией.</w:t>
      </w:r>
    </w:p>
    <w:p w:rsidR="00B416B3" w:rsidRPr="00844729" w:rsidRDefault="00B416B3" w:rsidP="00B416B3">
      <w:pPr>
        <w:ind w:left="1080"/>
        <w:jc w:val="both"/>
        <w:rPr>
          <w:szCs w:val="20"/>
        </w:rPr>
      </w:pPr>
    </w:p>
    <w:p w:rsidR="00B416B3" w:rsidRDefault="00B416B3" w:rsidP="0065306A">
      <w:pPr>
        <w:tabs>
          <w:tab w:val="left" w:pos="993"/>
        </w:tabs>
        <w:spacing w:after="200" w:line="276" w:lineRule="auto"/>
        <w:ind w:firstLine="709"/>
        <w:contextualSpacing/>
        <w:jc w:val="both"/>
        <w:rPr>
          <w:rFonts w:eastAsiaTheme="minorHAnsi"/>
          <w:lang w:eastAsia="en-US"/>
        </w:rPr>
      </w:pPr>
    </w:p>
    <w:p w:rsidR="00082D6C" w:rsidRDefault="00082D6C" w:rsidP="0065306A">
      <w:pPr>
        <w:tabs>
          <w:tab w:val="left" w:pos="993"/>
        </w:tabs>
        <w:spacing w:after="200" w:line="276" w:lineRule="auto"/>
        <w:ind w:firstLine="709"/>
        <w:contextualSpacing/>
        <w:jc w:val="both"/>
        <w:rPr>
          <w:rFonts w:eastAsiaTheme="minorHAnsi"/>
          <w:lang w:eastAsia="en-US"/>
        </w:rPr>
      </w:pPr>
    </w:p>
    <w:p w:rsidR="00082D6C" w:rsidRDefault="00082D6C" w:rsidP="0065306A">
      <w:pPr>
        <w:tabs>
          <w:tab w:val="left" w:pos="993"/>
        </w:tabs>
        <w:spacing w:after="200" w:line="276" w:lineRule="auto"/>
        <w:ind w:firstLine="709"/>
        <w:contextualSpacing/>
        <w:jc w:val="both"/>
        <w:rPr>
          <w:rFonts w:eastAsiaTheme="minorHAnsi"/>
          <w:lang w:eastAsia="en-US"/>
        </w:rPr>
      </w:pPr>
    </w:p>
    <w:p w:rsidR="00082D6C" w:rsidRDefault="00082D6C" w:rsidP="00247FEF">
      <w:pPr>
        <w:tabs>
          <w:tab w:val="left" w:pos="993"/>
        </w:tabs>
        <w:spacing w:after="200" w:line="276" w:lineRule="auto"/>
        <w:contextualSpacing/>
        <w:jc w:val="both"/>
        <w:rPr>
          <w:rFonts w:eastAsiaTheme="minorHAnsi"/>
          <w:lang w:eastAsia="en-US"/>
        </w:rPr>
      </w:pPr>
    </w:p>
    <w:p w:rsidR="00082D6C" w:rsidRPr="000019BC" w:rsidRDefault="000019BC" w:rsidP="000019BC">
      <w:pPr>
        <w:pStyle w:val="a9"/>
        <w:keepNext/>
        <w:ind w:left="0"/>
        <w:jc w:val="center"/>
        <w:outlineLvl w:val="0"/>
        <w:rPr>
          <w:b/>
          <w:sz w:val="28"/>
        </w:rPr>
      </w:pPr>
      <w:r w:rsidRPr="000019BC">
        <w:rPr>
          <w:b/>
          <w:sz w:val="28"/>
        </w:rPr>
        <w:t xml:space="preserve">Раздел 2. </w:t>
      </w:r>
      <w:r w:rsidR="00082D6C" w:rsidRPr="000019BC">
        <w:rPr>
          <w:b/>
          <w:sz w:val="28"/>
        </w:rPr>
        <w:t>Отчет о финансово-экономической деятельности Общества</w:t>
      </w:r>
    </w:p>
    <w:p w:rsidR="00C8170F" w:rsidRPr="00C8170F" w:rsidRDefault="00C8170F" w:rsidP="00C8170F">
      <w:pPr>
        <w:keepNext/>
        <w:spacing w:before="100" w:beforeAutospacing="1" w:after="100" w:afterAutospacing="1"/>
        <w:jc w:val="center"/>
        <w:outlineLvl w:val="4"/>
        <w:rPr>
          <w:b/>
          <w:bCs/>
          <w:szCs w:val="28"/>
        </w:rPr>
      </w:pPr>
      <w:bookmarkStart w:id="2" w:name="_Toc293483397"/>
      <w:r w:rsidRPr="00C8170F">
        <w:rPr>
          <w:b/>
          <w:bCs/>
          <w:szCs w:val="28"/>
        </w:rPr>
        <w:t xml:space="preserve">2.1. Анализ финансового состояния и результатов деятельности </w:t>
      </w:r>
      <w:bookmarkEnd w:id="2"/>
      <w:r w:rsidRPr="00C8170F">
        <w:rPr>
          <w:b/>
          <w:bCs/>
          <w:szCs w:val="28"/>
        </w:rPr>
        <w:t>Общества</w:t>
      </w:r>
    </w:p>
    <w:p w:rsidR="00C8170F" w:rsidRPr="00C8170F" w:rsidRDefault="00C8170F" w:rsidP="00C8170F">
      <w:pPr>
        <w:spacing w:before="100" w:beforeAutospacing="1"/>
        <w:jc w:val="center"/>
        <w:rPr>
          <w:b/>
        </w:rPr>
      </w:pPr>
      <w:r w:rsidRPr="00C8170F">
        <w:rPr>
          <w:b/>
        </w:rPr>
        <w:t>Основные показатели финансовой деятельности Общества за 2014 год</w:t>
      </w:r>
    </w:p>
    <w:tbl>
      <w:tblPr>
        <w:tblW w:w="8754" w:type="dxa"/>
        <w:jc w:val="center"/>
        <w:tblInd w:w="103" w:type="dxa"/>
        <w:tblLook w:val="04A0" w:firstRow="1" w:lastRow="0" w:firstColumn="1" w:lastColumn="0" w:noHBand="0" w:noVBand="1"/>
      </w:tblPr>
      <w:tblGrid>
        <w:gridCol w:w="714"/>
        <w:gridCol w:w="4420"/>
        <w:gridCol w:w="1240"/>
        <w:gridCol w:w="1160"/>
        <w:gridCol w:w="1220"/>
      </w:tblGrid>
      <w:tr w:rsidR="00C8170F" w:rsidRPr="00C8170F" w:rsidTr="00C8170F">
        <w:trPr>
          <w:trHeight w:val="315"/>
          <w:jc w:val="center"/>
        </w:trPr>
        <w:tc>
          <w:tcPr>
            <w:tcW w:w="714" w:type="dxa"/>
            <w:vMerge w:val="restart"/>
            <w:tcBorders>
              <w:top w:val="single" w:sz="4" w:space="0" w:color="auto"/>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п/п</w:t>
            </w:r>
          </w:p>
        </w:tc>
        <w:tc>
          <w:tcPr>
            <w:tcW w:w="4420" w:type="dxa"/>
            <w:vMerge w:val="restart"/>
            <w:tcBorders>
              <w:top w:val="single" w:sz="4" w:space="0" w:color="auto"/>
              <w:left w:val="single" w:sz="4" w:space="0" w:color="auto"/>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Показатель</w:t>
            </w:r>
          </w:p>
        </w:tc>
        <w:tc>
          <w:tcPr>
            <w:tcW w:w="1240" w:type="dxa"/>
            <w:tcBorders>
              <w:top w:val="single" w:sz="4" w:space="0" w:color="auto"/>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2014 г.</w:t>
            </w:r>
          </w:p>
        </w:tc>
        <w:tc>
          <w:tcPr>
            <w:tcW w:w="1160" w:type="dxa"/>
            <w:tcBorders>
              <w:top w:val="single" w:sz="4" w:space="0" w:color="auto"/>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2013 г.</w:t>
            </w:r>
          </w:p>
        </w:tc>
        <w:tc>
          <w:tcPr>
            <w:tcW w:w="1220" w:type="dxa"/>
            <w:tcBorders>
              <w:top w:val="single" w:sz="4" w:space="0" w:color="auto"/>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2012 г.</w:t>
            </w:r>
          </w:p>
        </w:tc>
      </w:tr>
      <w:tr w:rsidR="00C8170F" w:rsidRPr="00C8170F" w:rsidTr="00C8170F">
        <w:trPr>
          <w:trHeight w:val="3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rPr>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rPr>
                <w:lang w:eastAsia="en-US"/>
              </w:rPr>
            </w:pPr>
          </w:p>
        </w:tc>
        <w:tc>
          <w:tcPr>
            <w:tcW w:w="3620" w:type="dxa"/>
            <w:gridSpan w:val="3"/>
            <w:tcBorders>
              <w:top w:val="single" w:sz="4" w:space="0" w:color="auto"/>
              <w:left w:val="nil"/>
              <w:bottom w:val="single" w:sz="4" w:space="0" w:color="auto"/>
              <w:right w:val="single" w:sz="4" w:space="0" w:color="auto"/>
            </w:tcBorders>
            <w:hideMark/>
          </w:tcPr>
          <w:p w:rsidR="00C8170F" w:rsidRPr="00C8170F" w:rsidRDefault="00C8170F" w:rsidP="00C8170F">
            <w:pPr>
              <w:spacing w:line="276" w:lineRule="auto"/>
              <w:jc w:val="center"/>
              <w:rPr>
                <w:color w:val="000000"/>
                <w:sz w:val="22"/>
                <w:szCs w:val="22"/>
                <w:lang w:eastAsia="en-US"/>
              </w:rPr>
            </w:pPr>
            <w:r w:rsidRPr="00C8170F">
              <w:rPr>
                <w:lang w:eastAsia="en-US"/>
              </w:rPr>
              <w:t>тыс. руб.</w:t>
            </w:r>
          </w:p>
        </w:tc>
      </w:tr>
      <w:tr w:rsidR="00C8170F" w:rsidRPr="00C8170F" w:rsidTr="00C8170F">
        <w:trPr>
          <w:trHeight w:val="630"/>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Выручка от реализации продукции (услуг), в том числе:</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3 713 770</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2 979 433</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2 308 610</w:t>
            </w:r>
          </w:p>
        </w:tc>
      </w:tr>
      <w:tr w:rsidR="00C8170F" w:rsidRPr="00C8170F" w:rsidTr="00C8170F">
        <w:trPr>
          <w:trHeight w:val="630"/>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1.1.</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От продажи электроэнергии конечным потребителям электроэнергии</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3 179 438</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2 567 533</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2 043 172</w:t>
            </w:r>
          </w:p>
        </w:tc>
      </w:tr>
      <w:tr w:rsidR="00C8170F" w:rsidRPr="00C8170F" w:rsidTr="00C8170F">
        <w:trPr>
          <w:trHeight w:val="630"/>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1.2.</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От продажи электроэнергии сетевым компаниям</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466 417</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333 446</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188 868</w:t>
            </w:r>
          </w:p>
        </w:tc>
      </w:tr>
      <w:tr w:rsidR="00C8170F" w:rsidRPr="00C8170F" w:rsidTr="00C8170F">
        <w:trPr>
          <w:trHeight w:val="630"/>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1.3.</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От продажи электроэнергии на оптовом рынке электроэнергии</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66 281</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76 517</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75 883</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1.4.</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От прочей деятельности</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      1 634</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1 937</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687</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Себестоимость продукции (услуг)</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846 266</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712 312</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624 316</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Валовая прибыль</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2 867 504</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2 267 121</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1 684 294</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4</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Управленческие расходы</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5</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Коммерческие расходы</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2 778 013</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2 193 383</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1 595 470</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Прибыль (убыток) от продаж</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89 491</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73 738</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88 824</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lastRenderedPageBreak/>
              <w:t>7</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Проценты к получению</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9 957</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5 555</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6 325</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8</w:t>
            </w:r>
          </w:p>
        </w:tc>
        <w:tc>
          <w:tcPr>
            <w:tcW w:w="4420" w:type="dxa"/>
            <w:tcBorders>
              <w:top w:val="nil"/>
              <w:left w:val="nil"/>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Проценты к уплате</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0</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0</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0</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9</w:t>
            </w:r>
          </w:p>
        </w:tc>
        <w:tc>
          <w:tcPr>
            <w:tcW w:w="4420" w:type="dxa"/>
            <w:tcBorders>
              <w:top w:val="nil"/>
              <w:left w:val="nil"/>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Прочие доходы, всего</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1 074 690</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1 370 120</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1 282 676</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10</w:t>
            </w:r>
          </w:p>
        </w:tc>
        <w:tc>
          <w:tcPr>
            <w:tcW w:w="4420" w:type="dxa"/>
            <w:tcBorders>
              <w:top w:val="nil"/>
              <w:left w:val="nil"/>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Прочие расходы, всего</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1 130 599</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1 360 145</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1 216 420</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11</w:t>
            </w:r>
          </w:p>
        </w:tc>
        <w:tc>
          <w:tcPr>
            <w:tcW w:w="4420" w:type="dxa"/>
            <w:tcBorders>
              <w:top w:val="nil"/>
              <w:left w:val="nil"/>
              <w:bottom w:val="single" w:sz="4" w:space="0" w:color="auto"/>
              <w:right w:val="single" w:sz="4" w:space="0" w:color="auto"/>
            </w:tcBorders>
            <w:noWrap/>
            <w:hideMark/>
          </w:tcPr>
          <w:p w:rsidR="00C8170F" w:rsidRPr="00C8170F" w:rsidRDefault="00C8170F" w:rsidP="00C8170F">
            <w:pPr>
              <w:spacing w:line="276" w:lineRule="auto"/>
              <w:rPr>
                <w:lang w:eastAsia="en-US"/>
              </w:rPr>
            </w:pPr>
            <w:r w:rsidRPr="00C8170F">
              <w:rPr>
                <w:lang w:eastAsia="en-US"/>
              </w:rPr>
              <w:t xml:space="preserve">Прибыль (убыток) до налогообложения </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43 539</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89 268</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161 405</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12</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Налог на прибыль и иные платежи</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24 464</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27 770</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52 711</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13</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Чистая прибыль </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19 075</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61 498</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108 694</w:t>
            </w:r>
          </w:p>
        </w:tc>
      </w:tr>
      <w:tr w:rsidR="00C8170F" w:rsidRPr="00C8170F" w:rsidTr="00C8170F">
        <w:trPr>
          <w:trHeight w:val="315"/>
          <w:jc w:val="center"/>
        </w:trPr>
        <w:tc>
          <w:tcPr>
            <w:tcW w:w="714" w:type="dxa"/>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14</w:t>
            </w:r>
          </w:p>
        </w:tc>
        <w:tc>
          <w:tcPr>
            <w:tcW w:w="44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EBITDA</w:t>
            </w:r>
          </w:p>
        </w:tc>
        <w:tc>
          <w:tcPr>
            <w:tcW w:w="124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33 587</w:t>
            </w:r>
          </w:p>
        </w:tc>
        <w:tc>
          <w:tcPr>
            <w:tcW w:w="116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31 664</w:t>
            </w:r>
          </w:p>
        </w:tc>
        <w:tc>
          <w:tcPr>
            <w:tcW w:w="1220" w:type="dxa"/>
            <w:tcBorders>
              <w:top w:val="nil"/>
              <w:left w:val="nil"/>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52 589</w:t>
            </w:r>
          </w:p>
        </w:tc>
      </w:tr>
    </w:tbl>
    <w:p w:rsidR="00C8170F" w:rsidRPr="00C8170F" w:rsidRDefault="00C8170F" w:rsidP="00C8170F">
      <w:pPr>
        <w:ind w:firstLine="708"/>
        <w:jc w:val="both"/>
      </w:pPr>
    </w:p>
    <w:p w:rsidR="00C8170F" w:rsidRPr="00C8170F" w:rsidRDefault="00C8170F" w:rsidP="00C8170F">
      <w:pPr>
        <w:ind w:firstLine="709"/>
        <w:jc w:val="both"/>
      </w:pPr>
      <w:r w:rsidRPr="00C8170F">
        <w:t>По итогам 2014 года Обществом получена чистая прибыль в размере 19,1  млн. руб. Основные факторы, оказавшие влияние на получение  чистой прибыли в размере 19,1 млн. руб. следующие:</w:t>
      </w:r>
    </w:p>
    <w:p w:rsidR="00C8170F" w:rsidRPr="00C8170F" w:rsidRDefault="00C8170F" w:rsidP="00C8170F">
      <w:pPr>
        <w:numPr>
          <w:ilvl w:val="0"/>
          <w:numId w:val="45"/>
        </w:numPr>
        <w:spacing w:after="200"/>
        <w:contextualSpacing/>
        <w:jc w:val="both"/>
      </w:pPr>
      <w:r w:rsidRPr="00C8170F">
        <w:t>прибыль от продаж электроэнергии – 89,5 млн. руб.;</w:t>
      </w:r>
    </w:p>
    <w:p w:rsidR="00C8170F" w:rsidRPr="00C8170F" w:rsidRDefault="00C8170F" w:rsidP="00C8170F">
      <w:pPr>
        <w:numPr>
          <w:ilvl w:val="0"/>
          <w:numId w:val="45"/>
        </w:numPr>
        <w:spacing w:after="200"/>
        <w:contextualSpacing/>
        <w:jc w:val="both"/>
      </w:pPr>
      <w:r w:rsidRPr="00C8170F">
        <w:t>отрицательное  сальдо от прочих доходов и расходов – 45,9 млн. руб.</w:t>
      </w:r>
    </w:p>
    <w:p w:rsidR="00C8170F" w:rsidRPr="00C8170F" w:rsidRDefault="00C8170F" w:rsidP="00C8170F">
      <w:pPr>
        <w:spacing w:after="200"/>
        <w:ind w:firstLine="709"/>
        <w:jc w:val="both"/>
      </w:pPr>
      <w:r w:rsidRPr="00C8170F">
        <w:t xml:space="preserve">Снижение чистой прибыли отчетного года по сравнению с 2013 годом на 69,0 % связано со снижением доходов от реализации ценных бумаг и финансовых инструментов   и увеличением размера созданного резерва по сомнительным долгам. Увеличение резерва по сомнительным долгам вызвано ростом дебиторской задолженности за реализованную электроэнергию. </w:t>
      </w:r>
    </w:p>
    <w:p w:rsidR="00C8170F" w:rsidRPr="00C8170F" w:rsidRDefault="00C8170F" w:rsidP="00C8170F">
      <w:pPr>
        <w:ind w:firstLine="708"/>
        <w:jc w:val="both"/>
      </w:pPr>
      <w:r w:rsidRPr="00C8170F">
        <w:t>Выручка от продажи электроэнергии и мощности в 2014 году увеличилась по сравнению с 2013 годом на 734,3 млн. руб. или на 25% и составила 3,713 млн. руб. Главной причиной роста выручки является перевод потребителей города Нальчик на прямое обслуживание в ОАО «Каббалкэнерго».</w:t>
      </w:r>
    </w:p>
    <w:p w:rsidR="00C8170F" w:rsidRPr="00C8170F" w:rsidRDefault="00C8170F" w:rsidP="00C8170F">
      <w:pPr>
        <w:widowControl w:val="0"/>
        <w:autoSpaceDE w:val="0"/>
        <w:autoSpaceDN w:val="0"/>
        <w:adjustRightInd w:val="0"/>
        <w:ind w:firstLine="709"/>
        <w:jc w:val="both"/>
        <w:rPr>
          <w:rFonts w:ascii="Times New Roman CYR" w:hAnsi="Times New Roman CYR" w:cs="Times New Roman CYR"/>
          <w:bCs/>
        </w:rPr>
      </w:pPr>
      <w:r w:rsidRPr="00C8170F">
        <w:rPr>
          <w:rFonts w:ascii="Times New Roman CYR" w:hAnsi="Times New Roman CYR" w:cs="Times New Roman CYR"/>
          <w:bCs/>
        </w:rPr>
        <w:t xml:space="preserve">Основную долю в доходах компании составляют доходы </w:t>
      </w:r>
      <w:r w:rsidRPr="00C8170F">
        <w:rPr>
          <w:bCs/>
        </w:rPr>
        <w:t>от реализации электроэнергии и мощности.</w:t>
      </w:r>
    </w:p>
    <w:p w:rsidR="00C8170F" w:rsidRPr="00C8170F" w:rsidRDefault="00C8170F" w:rsidP="00C8170F">
      <w:pPr>
        <w:spacing w:after="200"/>
        <w:ind w:firstLine="708"/>
        <w:jc w:val="center"/>
        <w:rPr>
          <w:b/>
        </w:rPr>
      </w:pPr>
      <w:r w:rsidRPr="00C8170F">
        <w:rPr>
          <w:b/>
        </w:rPr>
        <w:t xml:space="preserve">Структура доходов </w:t>
      </w:r>
    </w:p>
    <w:tbl>
      <w:tblPr>
        <w:tblW w:w="5000" w:type="pct"/>
        <w:tblLook w:val="04A0" w:firstRow="1" w:lastRow="0" w:firstColumn="1" w:lastColumn="0" w:noHBand="0" w:noVBand="1"/>
      </w:tblPr>
      <w:tblGrid>
        <w:gridCol w:w="2689"/>
        <w:gridCol w:w="1217"/>
        <w:gridCol w:w="1093"/>
        <w:gridCol w:w="1217"/>
        <w:gridCol w:w="1093"/>
        <w:gridCol w:w="1217"/>
        <w:gridCol w:w="1147"/>
      </w:tblGrid>
      <w:tr w:rsidR="00C8170F" w:rsidRPr="00C8170F" w:rsidTr="00C8170F">
        <w:trPr>
          <w:trHeight w:val="375"/>
        </w:trPr>
        <w:tc>
          <w:tcPr>
            <w:tcW w:w="1390" w:type="pct"/>
            <w:vMerge w:val="restart"/>
            <w:tcBorders>
              <w:top w:val="single" w:sz="4" w:space="0" w:color="auto"/>
              <w:left w:val="single" w:sz="4" w:space="0" w:color="auto"/>
              <w:bottom w:val="single" w:sz="4" w:space="0" w:color="000000"/>
              <w:right w:val="single" w:sz="4" w:space="0" w:color="auto"/>
            </w:tcBorders>
            <w:hideMark/>
          </w:tcPr>
          <w:p w:rsidR="00C8170F" w:rsidRPr="00C8170F" w:rsidRDefault="00C8170F" w:rsidP="00C8170F">
            <w:pPr>
              <w:spacing w:line="276" w:lineRule="auto"/>
              <w:rPr>
                <w:lang w:eastAsia="en-US"/>
              </w:rPr>
            </w:pPr>
            <w:r w:rsidRPr="00C8170F">
              <w:rPr>
                <w:lang w:eastAsia="en-US"/>
              </w:rPr>
              <w:t>Наименование показателя</w:t>
            </w:r>
          </w:p>
        </w:tc>
        <w:tc>
          <w:tcPr>
            <w:tcW w:w="1194" w:type="pct"/>
            <w:gridSpan w:val="2"/>
            <w:tcBorders>
              <w:top w:val="single" w:sz="4" w:space="0" w:color="auto"/>
              <w:left w:val="nil"/>
              <w:bottom w:val="single" w:sz="4" w:space="0" w:color="auto"/>
              <w:right w:val="single" w:sz="4" w:space="0" w:color="000000"/>
            </w:tcBorders>
            <w:noWrap/>
            <w:hideMark/>
          </w:tcPr>
          <w:p w:rsidR="00C8170F" w:rsidRPr="00C8170F" w:rsidRDefault="00C8170F" w:rsidP="00C8170F">
            <w:pPr>
              <w:spacing w:line="276" w:lineRule="auto"/>
              <w:jc w:val="center"/>
              <w:rPr>
                <w:lang w:eastAsia="en-US"/>
              </w:rPr>
            </w:pPr>
            <w:r w:rsidRPr="00C8170F">
              <w:rPr>
                <w:lang w:eastAsia="en-US"/>
              </w:rPr>
              <w:t>2014 г.</w:t>
            </w:r>
          </w:p>
        </w:tc>
        <w:tc>
          <w:tcPr>
            <w:tcW w:w="1194" w:type="pct"/>
            <w:gridSpan w:val="2"/>
            <w:tcBorders>
              <w:top w:val="single" w:sz="4" w:space="0" w:color="auto"/>
              <w:left w:val="nil"/>
              <w:bottom w:val="single" w:sz="4" w:space="0" w:color="auto"/>
              <w:right w:val="single" w:sz="4" w:space="0" w:color="000000"/>
            </w:tcBorders>
            <w:shd w:val="clear" w:color="auto" w:fill="FFFFFF"/>
            <w:noWrap/>
            <w:hideMark/>
          </w:tcPr>
          <w:p w:rsidR="00C8170F" w:rsidRPr="00C8170F" w:rsidRDefault="00C8170F" w:rsidP="00C8170F">
            <w:pPr>
              <w:spacing w:line="276" w:lineRule="auto"/>
              <w:jc w:val="center"/>
              <w:rPr>
                <w:lang w:eastAsia="en-US"/>
              </w:rPr>
            </w:pPr>
            <w:r w:rsidRPr="00C8170F">
              <w:rPr>
                <w:lang w:eastAsia="en-US"/>
              </w:rPr>
              <w:t>2013 г.</w:t>
            </w:r>
          </w:p>
        </w:tc>
        <w:tc>
          <w:tcPr>
            <w:tcW w:w="1222" w:type="pct"/>
            <w:gridSpan w:val="2"/>
            <w:tcBorders>
              <w:top w:val="single" w:sz="4" w:space="0" w:color="auto"/>
              <w:left w:val="nil"/>
              <w:bottom w:val="single" w:sz="4" w:space="0" w:color="auto"/>
              <w:right w:val="single" w:sz="4" w:space="0" w:color="000000"/>
            </w:tcBorders>
            <w:shd w:val="clear" w:color="auto" w:fill="FFFFFF"/>
            <w:noWrap/>
            <w:hideMark/>
          </w:tcPr>
          <w:p w:rsidR="00C8170F" w:rsidRPr="00C8170F" w:rsidRDefault="00C8170F" w:rsidP="00C8170F">
            <w:pPr>
              <w:spacing w:line="276" w:lineRule="auto"/>
              <w:jc w:val="center"/>
              <w:rPr>
                <w:lang w:eastAsia="en-US"/>
              </w:rPr>
            </w:pPr>
            <w:r w:rsidRPr="00C8170F">
              <w:rPr>
                <w:lang w:eastAsia="en-US"/>
              </w:rPr>
              <w:t>2012 г.</w:t>
            </w:r>
          </w:p>
        </w:tc>
      </w:tr>
      <w:tr w:rsidR="00C8170F" w:rsidRPr="00C8170F" w:rsidTr="00C8170F">
        <w:trPr>
          <w:trHeight w:val="375"/>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C8170F" w:rsidRPr="00C8170F" w:rsidRDefault="00C8170F" w:rsidP="00C8170F">
            <w:pPr>
              <w:rPr>
                <w:lang w:eastAsia="en-US"/>
              </w:rPr>
            </w:pPr>
          </w:p>
        </w:tc>
        <w:tc>
          <w:tcPr>
            <w:tcW w:w="629" w:type="pct"/>
            <w:tcBorders>
              <w:top w:val="nil"/>
              <w:left w:val="nil"/>
              <w:bottom w:val="single" w:sz="4" w:space="0" w:color="auto"/>
              <w:right w:val="single" w:sz="4" w:space="0" w:color="auto"/>
            </w:tcBorders>
            <w:noWrap/>
            <w:hideMark/>
          </w:tcPr>
          <w:p w:rsidR="00C8170F" w:rsidRPr="00C8170F" w:rsidRDefault="00C8170F" w:rsidP="00C8170F">
            <w:pPr>
              <w:spacing w:line="276" w:lineRule="auto"/>
              <w:jc w:val="center"/>
              <w:rPr>
                <w:color w:val="000000"/>
                <w:sz w:val="20"/>
                <w:szCs w:val="20"/>
                <w:lang w:eastAsia="en-US"/>
              </w:rPr>
            </w:pPr>
            <w:r w:rsidRPr="00C8170F">
              <w:rPr>
                <w:lang w:eastAsia="en-US"/>
              </w:rPr>
              <w:t xml:space="preserve">тыс.руб. </w:t>
            </w:r>
          </w:p>
        </w:tc>
        <w:tc>
          <w:tcPr>
            <w:tcW w:w="565" w:type="pct"/>
            <w:tcBorders>
              <w:top w:val="nil"/>
              <w:left w:val="nil"/>
              <w:bottom w:val="single" w:sz="4" w:space="0" w:color="auto"/>
              <w:right w:val="single" w:sz="4" w:space="0" w:color="auto"/>
            </w:tcBorders>
            <w:hideMark/>
          </w:tcPr>
          <w:p w:rsidR="00C8170F" w:rsidRPr="00C8170F" w:rsidRDefault="00C8170F" w:rsidP="00C8170F">
            <w:pPr>
              <w:spacing w:line="276" w:lineRule="auto"/>
              <w:jc w:val="center"/>
              <w:rPr>
                <w:color w:val="000000"/>
                <w:sz w:val="20"/>
                <w:szCs w:val="20"/>
                <w:lang w:eastAsia="en-US"/>
              </w:rPr>
            </w:pPr>
            <w:r w:rsidRPr="00C8170F">
              <w:rPr>
                <w:lang w:eastAsia="en-US"/>
              </w:rPr>
              <w:t>%</w:t>
            </w:r>
          </w:p>
        </w:tc>
        <w:tc>
          <w:tcPr>
            <w:tcW w:w="629" w:type="pct"/>
            <w:tcBorders>
              <w:top w:val="nil"/>
              <w:left w:val="nil"/>
              <w:bottom w:val="single" w:sz="4" w:space="0" w:color="auto"/>
              <w:right w:val="single" w:sz="4" w:space="0" w:color="auto"/>
            </w:tcBorders>
            <w:shd w:val="clear" w:color="auto" w:fill="FFFFFF"/>
            <w:noWrap/>
            <w:hideMark/>
          </w:tcPr>
          <w:p w:rsidR="00C8170F" w:rsidRPr="00C8170F" w:rsidRDefault="00C8170F" w:rsidP="00C8170F">
            <w:pPr>
              <w:spacing w:line="276" w:lineRule="auto"/>
              <w:jc w:val="center"/>
              <w:rPr>
                <w:color w:val="000000"/>
                <w:sz w:val="20"/>
                <w:szCs w:val="20"/>
                <w:lang w:eastAsia="en-US"/>
              </w:rPr>
            </w:pPr>
            <w:r w:rsidRPr="00C8170F">
              <w:rPr>
                <w:lang w:eastAsia="en-US"/>
              </w:rPr>
              <w:t>тыс.руб.</w:t>
            </w:r>
          </w:p>
        </w:tc>
        <w:tc>
          <w:tcPr>
            <w:tcW w:w="565"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w:t>
            </w:r>
          </w:p>
        </w:tc>
        <w:tc>
          <w:tcPr>
            <w:tcW w:w="629"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тыс.руб.</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w:t>
            </w:r>
          </w:p>
        </w:tc>
      </w:tr>
      <w:tr w:rsidR="00C8170F" w:rsidRPr="00C8170F" w:rsidTr="00C8170F">
        <w:trPr>
          <w:trHeight w:val="300"/>
        </w:trPr>
        <w:tc>
          <w:tcPr>
            <w:tcW w:w="1390" w:type="pct"/>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Выручка</w:t>
            </w:r>
          </w:p>
        </w:tc>
        <w:tc>
          <w:tcPr>
            <w:tcW w:w="629" w:type="pct"/>
            <w:tcBorders>
              <w:top w:val="nil"/>
              <w:left w:val="nil"/>
              <w:bottom w:val="single" w:sz="4" w:space="0" w:color="auto"/>
              <w:right w:val="single" w:sz="4" w:space="0" w:color="auto"/>
            </w:tcBorders>
            <w:noWrap/>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3 713 770</w:t>
            </w:r>
          </w:p>
        </w:tc>
        <w:tc>
          <w:tcPr>
            <w:tcW w:w="565" w:type="pct"/>
            <w:tcBorders>
              <w:top w:val="nil"/>
              <w:left w:val="nil"/>
              <w:bottom w:val="single" w:sz="4" w:space="0" w:color="auto"/>
              <w:right w:val="single" w:sz="4" w:space="0" w:color="auto"/>
            </w:tcBorders>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100,0%</w:t>
            </w:r>
          </w:p>
        </w:tc>
        <w:tc>
          <w:tcPr>
            <w:tcW w:w="629" w:type="pct"/>
            <w:tcBorders>
              <w:top w:val="nil"/>
              <w:left w:val="nil"/>
              <w:bottom w:val="single" w:sz="4" w:space="0" w:color="auto"/>
              <w:right w:val="single" w:sz="4" w:space="0" w:color="auto"/>
            </w:tcBorders>
            <w:noWrap/>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2 979 433</w:t>
            </w:r>
          </w:p>
        </w:tc>
        <w:tc>
          <w:tcPr>
            <w:tcW w:w="565"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100,0%</w:t>
            </w:r>
          </w:p>
        </w:tc>
        <w:tc>
          <w:tcPr>
            <w:tcW w:w="629"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2 308 610</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100,0%</w:t>
            </w:r>
          </w:p>
        </w:tc>
      </w:tr>
      <w:tr w:rsidR="00C8170F" w:rsidRPr="00C8170F" w:rsidTr="00C8170F">
        <w:trPr>
          <w:trHeight w:val="765"/>
        </w:trPr>
        <w:tc>
          <w:tcPr>
            <w:tcW w:w="1390" w:type="pct"/>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 - от продажи электроэнергии конечным потребителям электроэнергии</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3 179 438</w:t>
            </w:r>
          </w:p>
        </w:tc>
        <w:tc>
          <w:tcPr>
            <w:tcW w:w="565" w:type="pct"/>
            <w:tcBorders>
              <w:top w:val="nil"/>
              <w:left w:val="nil"/>
              <w:bottom w:val="single" w:sz="4" w:space="0" w:color="auto"/>
              <w:right w:val="single" w:sz="4" w:space="0" w:color="auto"/>
            </w:tcBorders>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85,5%</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2 567 533</w:t>
            </w:r>
          </w:p>
        </w:tc>
        <w:tc>
          <w:tcPr>
            <w:tcW w:w="565"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86,2%</w:t>
            </w:r>
          </w:p>
        </w:tc>
        <w:tc>
          <w:tcPr>
            <w:tcW w:w="629"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2 043 172</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88,5%</w:t>
            </w:r>
          </w:p>
        </w:tc>
      </w:tr>
      <w:tr w:rsidR="00C8170F" w:rsidRPr="00C8170F" w:rsidTr="00C8170F">
        <w:trPr>
          <w:trHeight w:val="510"/>
        </w:trPr>
        <w:tc>
          <w:tcPr>
            <w:tcW w:w="1390" w:type="pct"/>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 - от продажи электроэнергии сетевым компаниям</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466 417</w:t>
            </w:r>
          </w:p>
        </w:tc>
        <w:tc>
          <w:tcPr>
            <w:tcW w:w="565" w:type="pct"/>
            <w:tcBorders>
              <w:top w:val="nil"/>
              <w:left w:val="nil"/>
              <w:bottom w:val="single" w:sz="4" w:space="0" w:color="auto"/>
              <w:right w:val="single" w:sz="4" w:space="0" w:color="auto"/>
            </w:tcBorders>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12,6%</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333 446</w:t>
            </w:r>
          </w:p>
        </w:tc>
        <w:tc>
          <w:tcPr>
            <w:tcW w:w="565"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11,2%</w:t>
            </w:r>
          </w:p>
        </w:tc>
        <w:tc>
          <w:tcPr>
            <w:tcW w:w="629"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188 868</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8,2%</w:t>
            </w:r>
          </w:p>
        </w:tc>
      </w:tr>
      <w:tr w:rsidR="00C8170F" w:rsidRPr="00C8170F" w:rsidTr="00C8170F">
        <w:trPr>
          <w:trHeight w:val="765"/>
        </w:trPr>
        <w:tc>
          <w:tcPr>
            <w:tcW w:w="1390" w:type="pct"/>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 - от продажи электроэнергии на оптовом рынке электроэнергии</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66 281</w:t>
            </w:r>
          </w:p>
        </w:tc>
        <w:tc>
          <w:tcPr>
            <w:tcW w:w="565" w:type="pct"/>
            <w:tcBorders>
              <w:top w:val="nil"/>
              <w:left w:val="nil"/>
              <w:bottom w:val="single" w:sz="4" w:space="0" w:color="auto"/>
              <w:right w:val="single" w:sz="4" w:space="0" w:color="auto"/>
            </w:tcBorders>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1,8%</w:t>
            </w:r>
          </w:p>
        </w:tc>
        <w:tc>
          <w:tcPr>
            <w:tcW w:w="629" w:type="pct"/>
            <w:tcBorders>
              <w:top w:val="nil"/>
              <w:left w:val="nil"/>
              <w:bottom w:val="single" w:sz="4" w:space="0" w:color="auto"/>
              <w:right w:val="single" w:sz="4" w:space="0" w:color="auto"/>
            </w:tcBorders>
            <w:noWrap/>
          </w:tcPr>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p>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76 517</w:t>
            </w:r>
          </w:p>
        </w:tc>
        <w:tc>
          <w:tcPr>
            <w:tcW w:w="565"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2,6%</w:t>
            </w:r>
          </w:p>
        </w:tc>
        <w:tc>
          <w:tcPr>
            <w:tcW w:w="629"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75 883</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3,3%</w:t>
            </w:r>
          </w:p>
        </w:tc>
      </w:tr>
      <w:tr w:rsidR="00C8170F" w:rsidRPr="00C8170F" w:rsidTr="00C8170F">
        <w:trPr>
          <w:trHeight w:val="300"/>
        </w:trPr>
        <w:tc>
          <w:tcPr>
            <w:tcW w:w="1390" w:type="pct"/>
            <w:tcBorders>
              <w:top w:val="nil"/>
              <w:left w:val="single" w:sz="4" w:space="0" w:color="auto"/>
              <w:bottom w:val="single" w:sz="4" w:space="0" w:color="auto"/>
              <w:right w:val="single" w:sz="4" w:space="0" w:color="auto"/>
            </w:tcBorders>
            <w:hideMark/>
          </w:tcPr>
          <w:p w:rsidR="00C8170F" w:rsidRPr="00C8170F" w:rsidRDefault="00C8170F" w:rsidP="00C8170F">
            <w:pPr>
              <w:spacing w:line="276" w:lineRule="auto"/>
              <w:rPr>
                <w:lang w:eastAsia="en-US"/>
              </w:rPr>
            </w:pPr>
            <w:r w:rsidRPr="00C8170F">
              <w:rPr>
                <w:lang w:eastAsia="en-US"/>
              </w:rPr>
              <w:t xml:space="preserve"> - прочая деятельность</w:t>
            </w:r>
          </w:p>
        </w:tc>
        <w:tc>
          <w:tcPr>
            <w:tcW w:w="629" w:type="pct"/>
            <w:tcBorders>
              <w:top w:val="nil"/>
              <w:left w:val="nil"/>
              <w:bottom w:val="single" w:sz="4" w:space="0" w:color="auto"/>
              <w:right w:val="single" w:sz="4" w:space="0" w:color="auto"/>
            </w:tcBorders>
            <w:noWrap/>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1 634</w:t>
            </w:r>
          </w:p>
        </w:tc>
        <w:tc>
          <w:tcPr>
            <w:tcW w:w="565" w:type="pct"/>
            <w:tcBorders>
              <w:top w:val="nil"/>
              <w:left w:val="nil"/>
              <w:bottom w:val="single" w:sz="4" w:space="0" w:color="auto"/>
              <w:right w:val="single" w:sz="4" w:space="0" w:color="auto"/>
            </w:tcBorders>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0,1%</w:t>
            </w:r>
          </w:p>
        </w:tc>
        <w:tc>
          <w:tcPr>
            <w:tcW w:w="629" w:type="pct"/>
            <w:tcBorders>
              <w:top w:val="nil"/>
              <w:left w:val="nil"/>
              <w:bottom w:val="single" w:sz="4" w:space="0" w:color="auto"/>
              <w:right w:val="single" w:sz="4" w:space="0" w:color="auto"/>
            </w:tcBorders>
            <w:noWrap/>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1 937</w:t>
            </w:r>
          </w:p>
        </w:tc>
        <w:tc>
          <w:tcPr>
            <w:tcW w:w="565"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0,1%</w:t>
            </w:r>
          </w:p>
        </w:tc>
        <w:tc>
          <w:tcPr>
            <w:tcW w:w="629"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687</w:t>
            </w:r>
          </w:p>
        </w:tc>
        <w:tc>
          <w:tcPr>
            <w:tcW w:w="5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rFonts w:ascii="Calibri" w:hAnsi="Calibri" w:cs="Calibri"/>
                <w:color w:val="000000"/>
                <w:sz w:val="22"/>
                <w:szCs w:val="22"/>
                <w:lang w:eastAsia="en-US"/>
              </w:rPr>
            </w:pPr>
            <w:r w:rsidRPr="00C8170F">
              <w:rPr>
                <w:rFonts w:ascii="Calibri" w:hAnsi="Calibri" w:cs="Calibri"/>
                <w:color w:val="000000"/>
                <w:sz w:val="22"/>
                <w:szCs w:val="22"/>
                <w:lang w:eastAsia="en-US"/>
              </w:rPr>
              <w:t>0,0%</w:t>
            </w:r>
          </w:p>
        </w:tc>
      </w:tr>
    </w:tbl>
    <w:p w:rsidR="00C8170F" w:rsidRPr="00C8170F" w:rsidRDefault="00C8170F" w:rsidP="00C8170F">
      <w:pPr>
        <w:widowControl w:val="0"/>
        <w:autoSpaceDE w:val="0"/>
        <w:autoSpaceDN w:val="0"/>
        <w:adjustRightInd w:val="0"/>
        <w:jc w:val="both"/>
        <w:rPr>
          <w:rFonts w:ascii="Times New Roman CYR" w:hAnsi="Times New Roman CYR" w:cs="Times New Roman CYR"/>
          <w:bCs/>
          <w:sz w:val="28"/>
          <w:szCs w:val="28"/>
        </w:rPr>
      </w:pPr>
    </w:p>
    <w:p w:rsidR="00C8170F" w:rsidRPr="00C8170F" w:rsidRDefault="00C8170F" w:rsidP="00C8170F">
      <w:pPr>
        <w:ind w:firstLine="709"/>
        <w:jc w:val="both"/>
      </w:pPr>
      <w:r w:rsidRPr="00C8170F">
        <w:lastRenderedPageBreak/>
        <w:t xml:space="preserve">Доходы </w:t>
      </w:r>
      <w:r w:rsidRPr="00C8170F">
        <w:rPr>
          <w:bCs/>
        </w:rPr>
        <w:t xml:space="preserve">от реализации электроэнергии и мощности  </w:t>
      </w:r>
      <w:r w:rsidRPr="00C8170F">
        <w:t>составляют основную долю в структуре доходов ОАО «Каббалкэнерго». По итогам 2014 года выручка от продажи электроэнергии и мощности составила 3 712,1 млн. рублей или 99,9 % от общей выручки, что на 25%  выше, чем по итогам 2013  года. Рост выручки от продаж электроэнергии и мощности связан с увеличением прямых продаж электрической энергии конечным потребителям.</w:t>
      </w:r>
    </w:p>
    <w:p w:rsidR="00C8170F" w:rsidRPr="00C8170F" w:rsidRDefault="00C8170F" w:rsidP="00C8170F">
      <w:pPr>
        <w:ind w:firstLine="709"/>
        <w:jc w:val="both"/>
      </w:pPr>
      <w:r w:rsidRPr="00C8170F">
        <w:t>Доходы от продажи электроэнергии сетевым компаниям в целях компенсации потерь за 2014 год достигли 466,4 млн. рублей или 12,6 % от общей выручки Общества, что на 40 % выше, чем по итогам 2013 года. Увеличение доходов от продаж электроэнергии сетевым компаниям связано с ростом объемов потерь электроэнергии в сетях территориальных сетевых организаций.</w:t>
      </w:r>
    </w:p>
    <w:p w:rsidR="00C8170F" w:rsidRPr="00C8170F" w:rsidRDefault="00C8170F" w:rsidP="00C8170F">
      <w:pPr>
        <w:ind w:firstLine="709"/>
        <w:jc w:val="both"/>
      </w:pPr>
      <w:r w:rsidRPr="00C8170F">
        <w:t>Доходы от продажи  электроэнергии на оптовом  рынке электроэнергии и мощности в 2014 году составили 6</w:t>
      </w:r>
      <w:r w:rsidR="009D4D9D">
        <w:t>6</w:t>
      </w:r>
      <w:r w:rsidRPr="00C8170F">
        <w:t>,</w:t>
      </w:r>
      <w:r w:rsidR="009D4D9D">
        <w:t>3</w:t>
      </w:r>
      <w:r w:rsidRPr="00C8170F">
        <w:t xml:space="preserve"> млн.руб. или 1,8% от общей выручки Общества, что меньше чем в 2013 году на 1</w:t>
      </w:r>
      <w:r w:rsidR="009D4D9D">
        <w:t>0</w:t>
      </w:r>
      <w:r w:rsidRPr="00C8170F">
        <w:t>,</w:t>
      </w:r>
      <w:r w:rsidR="009D4D9D">
        <w:t>2</w:t>
      </w:r>
      <w:r w:rsidRPr="00C8170F">
        <w:t xml:space="preserve"> млн.руб. или на 1</w:t>
      </w:r>
      <w:r w:rsidR="009D4D9D">
        <w:t>3</w:t>
      </w:r>
      <w:r w:rsidRPr="00C8170F">
        <w:t xml:space="preserve">%. </w:t>
      </w:r>
    </w:p>
    <w:p w:rsidR="00C8170F" w:rsidRPr="00C8170F" w:rsidRDefault="00C8170F" w:rsidP="00C8170F">
      <w:pPr>
        <w:ind w:firstLine="709"/>
        <w:jc w:val="both"/>
      </w:pPr>
    </w:p>
    <w:p w:rsidR="00C8170F" w:rsidRPr="00C8170F" w:rsidRDefault="00C8170F" w:rsidP="00C8170F">
      <w:pPr>
        <w:spacing w:after="200"/>
        <w:ind w:firstLine="708"/>
        <w:jc w:val="center"/>
        <w:rPr>
          <w:b/>
        </w:rPr>
      </w:pPr>
      <w:r w:rsidRPr="00C8170F">
        <w:rPr>
          <w:b/>
        </w:rPr>
        <w:t>Структура  расходов</w:t>
      </w:r>
    </w:p>
    <w:tbl>
      <w:tblPr>
        <w:tblW w:w="5000" w:type="pct"/>
        <w:tblLook w:val="04A0" w:firstRow="1" w:lastRow="0" w:firstColumn="1" w:lastColumn="0" w:noHBand="0" w:noVBand="1"/>
      </w:tblPr>
      <w:tblGrid>
        <w:gridCol w:w="3299"/>
        <w:gridCol w:w="1158"/>
        <w:gridCol w:w="931"/>
        <w:gridCol w:w="1158"/>
        <w:gridCol w:w="866"/>
        <w:gridCol w:w="1365"/>
        <w:gridCol w:w="896"/>
      </w:tblGrid>
      <w:tr w:rsidR="00C8170F" w:rsidRPr="00C8170F" w:rsidTr="00C8170F">
        <w:trPr>
          <w:trHeight w:val="315"/>
        </w:trPr>
        <w:tc>
          <w:tcPr>
            <w:tcW w:w="1709" w:type="pct"/>
            <w:vMerge w:val="restart"/>
            <w:tcBorders>
              <w:top w:val="single" w:sz="4" w:space="0" w:color="auto"/>
              <w:left w:val="single" w:sz="4" w:space="0" w:color="auto"/>
              <w:bottom w:val="single" w:sz="4" w:space="0" w:color="000000"/>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Наименование показателя</w:t>
            </w:r>
          </w:p>
        </w:tc>
        <w:tc>
          <w:tcPr>
            <w:tcW w:w="1087" w:type="pct"/>
            <w:gridSpan w:val="2"/>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2014 г.</w:t>
            </w:r>
          </w:p>
        </w:tc>
        <w:tc>
          <w:tcPr>
            <w:tcW w:w="1029" w:type="pct"/>
            <w:gridSpan w:val="2"/>
            <w:tcBorders>
              <w:top w:val="single" w:sz="4" w:space="0" w:color="auto"/>
              <w:left w:val="nil"/>
              <w:bottom w:val="single" w:sz="4" w:space="0" w:color="auto"/>
              <w:right w:val="single" w:sz="4" w:space="0" w:color="000000"/>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2013 г.</w:t>
            </w:r>
          </w:p>
        </w:tc>
        <w:tc>
          <w:tcPr>
            <w:tcW w:w="1175" w:type="pct"/>
            <w:gridSpan w:val="2"/>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2012 г.</w:t>
            </w:r>
          </w:p>
        </w:tc>
      </w:tr>
      <w:tr w:rsidR="00C8170F" w:rsidRPr="00C8170F" w:rsidTr="00C8170F">
        <w:trPr>
          <w:trHeight w:val="258"/>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C8170F" w:rsidRPr="00C8170F" w:rsidRDefault="00C8170F" w:rsidP="00C8170F">
            <w:pPr>
              <w:rPr>
                <w:color w:val="000000"/>
                <w:sz w:val="20"/>
                <w:szCs w:val="20"/>
                <w:lang w:eastAsia="en-US"/>
              </w:rPr>
            </w:pP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тыс. руб.</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тыс. руб.</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тыс. руб.</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b/>
                <w:bCs/>
                <w:color w:val="000000"/>
                <w:sz w:val="20"/>
                <w:szCs w:val="20"/>
                <w:lang w:eastAsia="en-US"/>
              </w:rPr>
            </w:pPr>
            <w:r w:rsidRPr="00C8170F">
              <w:rPr>
                <w:b/>
                <w:bCs/>
                <w:color w:val="000000"/>
                <w:sz w:val="20"/>
                <w:szCs w:val="20"/>
                <w:lang w:eastAsia="en-US"/>
              </w:rPr>
              <w:t>Себестоимость продукции (услуг)</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3 624 279</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100,0%</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2 905 695</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100,0%</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2 219 786</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b/>
                <w:bCs/>
                <w:color w:val="000000"/>
                <w:sz w:val="20"/>
                <w:szCs w:val="20"/>
                <w:lang w:eastAsia="en-US"/>
              </w:rPr>
            </w:pPr>
            <w:r w:rsidRPr="00C8170F">
              <w:rPr>
                <w:b/>
                <w:bCs/>
                <w:color w:val="000000"/>
                <w:sz w:val="20"/>
                <w:szCs w:val="20"/>
                <w:lang w:eastAsia="en-US"/>
              </w:rPr>
              <w:t>100,0%</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 xml:space="preserve">Покупная электроэнергия  и мощность </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1 356 537</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37,4%</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1 177 392</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40,5%</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1 051 873</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47,4%</w:t>
            </w:r>
          </w:p>
        </w:tc>
      </w:tr>
      <w:tr w:rsidR="00C8170F" w:rsidRPr="00C8170F" w:rsidTr="00C8170F">
        <w:trPr>
          <w:trHeight w:val="510"/>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Услуги распределительных сетевых компаний</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1 892 661</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52,2%</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1 422 600</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49,0%</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972 626</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43,8%</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Сырье и материалы</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9 779</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0,3%</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9 070</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0,3%</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7 205</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0,3%</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Расходы на персонал</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274 029</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7,6%</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216 617</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7,5%</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126 757</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5,7%</w:t>
            </w:r>
          </w:p>
        </w:tc>
      </w:tr>
      <w:tr w:rsidR="00C8170F" w:rsidRPr="00C8170F" w:rsidTr="00C8170F">
        <w:trPr>
          <w:trHeight w:val="510"/>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Амортизация основных средств и нематериальных активов</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4 522</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0,1%</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3 491</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0,1%</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2 932</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0,1%</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Налоги и сборы</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281</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0,0%</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342</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0,0%</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347</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sz w:val="20"/>
                <w:szCs w:val="20"/>
                <w:lang w:eastAsia="en-US"/>
              </w:rPr>
            </w:pPr>
            <w:r w:rsidRPr="00C8170F">
              <w:rPr>
                <w:sz w:val="20"/>
                <w:szCs w:val="20"/>
                <w:lang w:eastAsia="en-US"/>
              </w:rPr>
              <w:t>0,0%</w:t>
            </w:r>
          </w:p>
        </w:tc>
      </w:tr>
      <w:tr w:rsidR="00C8170F" w:rsidRPr="00C8170F" w:rsidTr="00C8170F">
        <w:trPr>
          <w:trHeight w:val="315"/>
        </w:trPr>
        <w:tc>
          <w:tcPr>
            <w:tcW w:w="1709"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sz w:val="20"/>
                <w:szCs w:val="20"/>
                <w:lang w:eastAsia="en-US"/>
              </w:rPr>
            </w:pPr>
            <w:r w:rsidRPr="00C8170F">
              <w:rPr>
                <w:color w:val="000000"/>
                <w:sz w:val="20"/>
                <w:szCs w:val="20"/>
                <w:lang w:eastAsia="en-US"/>
              </w:rPr>
              <w:t>Прочие затраты</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86 469</w:t>
            </w:r>
          </w:p>
        </w:tc>
        <w:tc>
          <w:tcPr>
            <w:tcW w:w="485"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2,4%</w:t>
            </w:r>
          </w:p>
        </w:tc>
        <w:tc>
          <w:tcPr>
            <w:tcW w:w="602"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76 183</w:t>
            </w:r>
          </w:p>
        </w:tc>
        <w:tc>
          <w:tcPr>
            <w:tcW w:w="42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2,6%</w:t>
            </w:r>
          </w:p>
        </w:tc>
        <w:tc>
          <w:tcPr>
            <w:tcW w:w="709"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58 046</w:t>
            </w:r>
          </w:p>
        </w:tc>
        <w:tc>
          <w:tcPr>
            <w:tcW w:w="4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0"/>
                <w:szCs w:val="20"/>
                <w:lang w:eastAsia="en-US"/>
              </w:rPr>
            </w:pPr>
            <w:r w:rsidRPr="00C8170F">
              <w:rPr>
                <w:color w:val="000000"/>
                <w:sz w:val="20"/>
                <w:szCs w:val="20"/>
                <w:lang w:eastAsia="en-US"/>
              </w:rPr>
              <w:t>2,6%</w:t>
            </w:r>
          </w:p>
        </w:tc>
      </w:tr>
    </w:tbl>
    <w:p w:rsidR="00C8170F" w:rsidRPr="00C8170F" w:rsidRDefault="00C8170F" w:rsidP="00C8170F">
      <w:pPr>
        <w:spacing w:after="200"/>
        <w:ind w:firstLine="708"/>
        <w:jc w:val="both"/>
        <w:rPr>
          <w:sz w:val="16"/>
          <w:szCs w:val="16"/>
        </w:rPr>
      </w:pPr>
      <w:r w:rsidRPr="00C8170F">
        <w:rPr>
          <w:sz w:val="16"/>
          <w:szCs w:val="16"/>
        </w:rPr>
        <w:t>* Себестоимость продукции (услуг) указана с учетом коммерческих расходов</w:t>
      </w:r>
    </w:p>
    <w:p w:rsidR="00C8170F" w:rsidRPr="00C8170F" w:rsidRDefault="00C8170F" w:rsidP="00C8170F">
      <w:pPr>
        <w:spacing w:after="200"/>
        <w:ind w:firstLine="708"/>
        <w:jc w:val="both"/>
        <w:rPr>
          <w:b/>
        </w:rPr>
      </w:pPr>
      <w:r w:rsidRPr="00C8170F">
        <w:rPr>
          <w:b/>
        </w:rPr>
        <w:t xml:space="preserve">               Структура расходов ОАО «Каббалкэнерго» за 2014 год</w:t>
      </w:r>
    </w:p>
    <w:p w:rsidR="00C8170F" w:rsidRPr="00C8170F" w:rsidRDefault="00C8170F" w:rsidP="00C8170F">
      <w:pPr>
        <w:spacing w:after="200"/>
        <w:jc w:val="center"/>
      </w:pPr>
      <w:r w:rsidRPr="00C8170F">
        <w:rPr>
          <w:noProof/>
        </w:rPr>
        <w:drawing>
          <wp:inline distT="0" distB="0" distL="0" distR="0" wp14:anchorId="0FBD53BC" wp14:editId="6D42136F">
            <wp:extent cx="6038850" cy="2705100"/>
            <wp:effectExtent l="0" t="0" r="19050" b="19050"/>
            <wp:docPr id="2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C8170F" w:rsidRPr="00C8170F" w:rsidRDefault="00C8170F" w:rsidP="00C8170F">
      <w:pPr>
        <w:ind w:firstLine="709"/>
        <w:jc w:val="both"/>
      </w:pPr>
      <w:r w:rsidRPr="00C8170F">
        <w:lastRenderedPageBreak/>
        <w:t>Расходы на покупную электроэнергию и мощность по итогам 2014  года составили  1 356,5  млн. рублей  (37,4 % от общих расходов). В абсолютном выражении рост к                   2013 году составил 179,1 млн. руб.</w:t>
      </w:r>
    </w:p>
    <w:p w:rsidR="00C8170F" w:rsidRPr="00C8170F" w:rsidRDefault="00C8170F" w:rsidP="00C8170F">
      <w:pPr>
        <w:ind w:firstLine="709"/>
        <w:jc w:val="both"/>
      </w:pPr>
      <w:r w:rsidRPr="00C8170F">
        <w:t>Расходы за услуги распределительных сетевых компаний составили 1 892,7  млн. рублей (52,2 % от общих затрат). Рост в сравнении с 2013 годом составил 470,1 млн. руб. или 33%. Увеличение расходов на услуги сетевых компаний связано с увеличением объемов продаж конечным потребителям и соответствующим  увеличением объемов услуг оказываемых территориальной сетевой организацией, обслуживающей г. Нальчик,                       ОАО «Каббалккомунэнерго».</w:t>
      </w:r>
    </w:p>
    <w:p w:rsidR="00C8170F" w:rsidRPr="00C8170F" w:rsidRDefault="00C8170F" w:rsidP="00C8170F">
      <w:pPr>
        <w:ind w:firstLine="709"/>
        <w:jc w:val="both"/>
      </w:pPr>
      <w:r w:rsidRPr="00C8170F">
        <w:t>Расходы на персонал в 2014 году составили 274,0  млн. рублей (7,6% от общих расходов), что на 0,1% выше, чем по итогам 2013 года. Основной причиной роста затрат по данной статье расходов является индексация заработной платы  работников Общества на 11.1% с 01.07.2014 г. в соответствии с требованиями Коллективного договора Общества на 2014-2015 годы.</w:t>
      </w:r>
    </w:p>
    <w:p w:rsidR="00C8170F" w:rsidRPr="00C8170F" w:rsidRDefault="00C8170F" w:rsidP="00C8170F">
      <w:pPr>
        <w:ind w:firstLine="709"/>
        <w:jc w:val="both"/>
      </w:pPr>
      <w:r w:rsidRPr="00C8170F">
        <w:t xml:space="preserve">Амортизация основных средств и нематериальных активов в 2014 году составляет             4,5 млн. руб.,что выше по сравнению с 2013 годом на  1,03 млн. руб. </w:t>
      </w:r>
    </w:p>
    <w:p w:rsidR="00C8170F" w:rsidRPr="00C8170F" w:rsidRDefault="00C8170F" w:rsidP="00C8170F">
      <w:pPr>
        <w:ind w:firstLine="709"/>
        <w:jc w:val="both"/>
      </w:pPr>
      <w:r w:rsidRPr="00C8170F">
        <w:t>Расходы по статье прочие затраты составили 86,5 млн. рублей (2,4% от общих затрат). Рост по сравнению с 2013 годом в сумме 10,2 млн. руб. обусловлен открытием 6 центров обслуживания клиентов и принятием на обслуживание потребителей г. Нальчик.</w:t>
      </w:r>
    </w:p>
    <w:p w:rsidR="00C8170F" w:rsidRPr="00C8170F" w:rsidRDefault="00C8170F" w:rsidP="00C8170F">
      <w:pPr>
        <w:ind w:left="-567" w:firstLine="567"/>
        <w:jc w:val="center"/>
        <w:rPr>
          <w:rFonts w:eastAsia="Calibri"/>
          <w:b/>
          <w:lang w:eastAsia="en-US"/>
        </w:rPr>
      </w:pPr>
    </w:p>
    <w:p w:rsidR="00C8170F" w:rsidRPr="00C8170F" w:rsidRDefault="00C8170F" w:rsidP="00C8170F">
      <w:pPr>
        <w:ind w:left="-567" w:firstLine="567"/>
        <w:jc w:val="center"/>
        <w:rPr>
          <w:rFonts w:eastAsia="Calibri"/>
          <w:b/>
          <w:lang w:eastAsia="en-US"/>
        </w:rPr>
      </w:pPr>
      <w:r w:rsidRPr="00C8170F">
        <w:rPr>
          <w:rFonts w:eastAsia="Calibri"/>
          <w:b/>
          <w:lang w:eastAsia="en-US"/>
        </w:rPr>
        <w:t>Анализ изменения дебиторской задолженности, млн. рублей</w:t>
      </w:r>
    </w:p>
    <w:p w:rsidR="00C8170F" w:rsidRPr="00C8170F" w:rsidRDefault="00C8170F" w:rsidP="00C8170F">
      <w:pPr>
        <w:ind w:left="-567" w:firstLine="567"/>
        <w:jc w:val="center"/>
        <w:rPr>
          <w:rFonts w:eastAsia="Calibri"/>
          <w:b/>
          <w:lang w:eastAsia="en-US"/>
        </w:rPr>
      </w:pPr>
    </w:p>
    <w:tbl>
      <w:tblPr>
        <w:tblW w:w="4923" w:type="pct"/>
        <w:jc w:val="center"/>
        <w:tblLook w:val="04A0" w:firstRow="1" w:lastRow="0" w:firstColumn="1" w:lastColumn="0" w:noHBand="0" w:noVBand="1"/>
      </w:tblPr>
      <w:tblGrid>
        <w:gridCol w:w="4760"/>
        <w:gridCol w:w="1608"/>
        <w:gridCol w:w="1539"/>
        <w:gridCol w:w="1617"/>
      </w:tblGrid>
      <w:tr w:rsidR="00C8170F" w:rsidRPr="00C8170F" w:rsidTr="00C8170F">
        <w:trPr>
          <w:trHeight w:val="505"/>
          <w:jc w:val="center"/>
        </w:trPr>
        <w:tc>
          <w:tcPr>
            <w:tcW w:w="2499" w:type="pct"/>
            <w:tcBorders>
              <w:top w:val="single" w:sz="8" w:space="0" w:color="auto"/>
              <w:left w:val="single" w:sz="8" w:space="0" w:color="auto"/>
              <w:bottom w:val="nil"/>
              <w:right w:val="single" w:sz="8" w:space="0" w:color="000000"/>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Показатель</w:t>
            </w:r>
          </w:p>
        </w:tc>
        <w:tc>
          <w:tcPr>
            <w:tcW w:w="844" w:type="pct"/>
            <w:tcBorders>
              <w:top w:val="single" w:sz="8" w:space="0" w:color="auto"/>
              <w:left w:val="nil"/>
              <w:bottom w:val="nil"/>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на               31.12.2014 г.</w:t>
            </w:r>
          </w:p>
        </w:tc>
        <w:tc>
          <w:tcPr>
            <w:tcW w:w="808" w:type="pct"/>
            <w:tcBorders>
              <w:top w:val="single" w:sz="8" w:space="0" w:color="auto"/>
              <w:left w:val="nil"/>
              <w:bottom w:val="nil"/>
              <w:right w:val="single" w:sz="8" w:space="0" w:color="000000"/>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на          31.12.2013 г.</w:t>
            </w:r>
          </w:p>
        </w:tc>
        <w:tc>
          <w:tcPr>
            <w:tcW w:w="849" w:type="pct"/>
            <w:tcBorders>
              <w:top w:val="single" w:sz="8" w:space="0" w:color="auto"/>
              <w:left w:val="nil"/>
              <w:bottom w:val="nil"/>
              <w:right w:val="single" w:sz="8" w:space="0" w:color="000000"/>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на           31.12.2012 г.</w:t>
            </w:r>
          </w:p>
        </w:tc>
      </w:tr>
      <w:tr w:rsidR="00C8170F" w:rsidRPr="00C8170F" w:rsidTr="00C8170F">
        <w:trPr>
          <w:trHeight w:val="357"/>
          <w:jc w:val="center"/>
        </w:trPr>
        <w:tc>
          <w:tcPr>
            <w:tcW w:w="2499" w:type="pct"/>
            <w:tcBorders>
              <w:top w:val="single" w:sz="8" w:space="0" w:color="auto"/>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Дебиторская задолженность, в том числе:</w:t>
            </w:r>
          </w:p>
        </w:tc>
        <w:tc>
          <w:tcPr>
            <w:tcW w:w="844" w:type="pct"/>
            <w:tcBorders>
              <w:top w:val="single" w:sz="8" w:space="0" w:color="auto"/>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293,9</w:t>
            </w:r>
          </w:p>
        </w:tc>
        <w:tc>
          <w:tcPr>
            <w:tcW w:w="808" w:type="pct"/>
            <w:tcBorders>
              <w:top w:val="single" w:sz="8" w:space="0" w:color="auto"/>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209,1</w:t>
            </w:r>
          </w:p>
        </w:tc>
        <w:tc>
          <w:tcPr>
            <w:tcW w:w="849" w:type="pct"/>
            <w:tcBorders>
              <w:top w:val="single" w:sz="8" w:space="0" w:color="auto"/>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254,9</w:t>
            </w:r>
          </w:p>
        </w:tc>
      </w:tr>
      <w:tr w:rsidR="00C8170F" w:rsidRPr="00C8170F" w:rsidTr="00C8170F">
        <w:trPr>
          <w:trHeight w:val="547"/>
          <w:jc w:val="center"/>
        </w:trPr>
        <w:tc>
          <w:tcPr>
            <w:tcW w:w="2499" w:type="pct"/>
            <w:tcBorders>
              <w:top w:val="nil"/>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xml:space="preserve">Платежи, по которым ожидаются более чем через 12 месяцев после отчетной даты   </w:t>
            </w:r>
          </w:p>
        </w:tc>
        <w:tc>
          <w:tcPr>
            <w:tcW w:w="844"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0,0</w:t>
            </w:r>
          </w:p>
        </w:tc>
        <w:tc>
          <w:tcPr>
            <w:tcW w:w="808"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0,0</w:t>
            </w:r>
          </w:p>
        </w:tc>
        <w:tc>
          <w:tcPr>
            <w:tcW w:w="849"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0,0</w:t>
            </w:r>
          </w:p>
        </w:tc>
      </w:tr>
      <w:tr w:rsidR="00C8170F" w:rsidRPr="00C8170F" w:rsidTr="00C8170F">
        <w:trPr>
          <w:trHeight w:val="541"/>
          <w:jc w:val="center"/>
        </w:trPr>
        <w:tc>
          <w:tcPr>
            <w:tcW w:w="2499" w:type="pct"/>
            <w:tcBorders>
              <w:top w:val="nil"/>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Платежи, по которой ожидаются в течение 12 месяцев после отчетной даты</w:t>
            </w:r>
          </w:p>
        </w:tc>
        <w:tc>
          <w:tcPr>
            <w:tcW w:w="844"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293,9</w:t>
            </w:r>
          </w:p>
        </w:tc>
        <w:tc>
          <w:tcPr>
            <w:tcW w:w="808"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209,1</w:t>
            </w:r>
          </w:p>
        </w:tc>
        <w:tc>
          <w:tcPr>
            <w:tcW w:w="849"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254,9</w:t>
            </w:r>
          </w:p>
        </w:tc>
      </w:tr>
      <w:tr w:rsidR="00C8170F" w:rsidRPr="00C8170F" w:rsidTr="00C8170F">
        <w:trPr>
          <w:trHeight w:val="330"/>
          <w:jc w:val="center"/>
        </w:trPr>
        <w:tc>
          <w:tcPr>
            <w:tcW w:w="2499" w:type="pct"/>
            <w:tcBorders>
              <w:top w:val="nil"/>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покупатели и заказчики</w:t>
            </w:r>
          </w:p>
        </w:tc>
        <w:tc>
          <w:tcPr>
            <w:tcW w:w="844"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274,9</w:t>
            </w:r>
          </w:p>
        </w:tc>
        <w:tc>
          <w:tcPr>
            <w:tcW w:w="808"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160,8</w:t>
            </w:r>
          </w:p>
        </w:tc>
        <w:tc>
          <w:tcPr>
            <w:tcW w:w="849"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124,7</w:t>
            </w:r>
          </w:p>
        </w:tc>
      </w:tr>
      <w:tr w:rsidR="00C8170F" w:rsidRPr="00C8170F" w:rsidTr="00C8170F">
        <w:trPr>
          <w:trHeight w:val="330"/>
          <w:jc w:val="center"/>
        </w:trPr>
        <w:tc>
          <w:tcPr>
            <w:tcW w:w="2499" w:type="pct"/>
            <w:tcBorders>
              <w:top w:val="nil"/>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авансы выданные</w:t>
            </w:r>
          </w:p>
        </w:tc>
        <w:tc>
          <w:tcPr>
            <w:tcW w:w="844"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5,7</w:t>
            </w:r>
          </w:p>
        </w:tc>
        <w:tc>
          <w:tcPr>
            <w:tcW w:w="808"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3,5</w:t>
            </w:r>
          </w:p>
        </w:tc>
        <w:tc>
          <w:tcPr>
            <w:tcW w:w="849"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46,5</w:t>
            </w:r>
          </w:p>
        </w:tc>
      </w:tr>
      <w:tr w:rsidR="00C8170F" w:rsidRPr="00C8170F" w:rsidTr="00C8170F">
        <w:trPr>
          <w:trHeight w:val="330"/>
          <w:jc w:val="center"/>
        </w:trPr>
        <w:tc>
          <w:tcPr>
            <w:tcW w:w="2499" w:type="pct"/>
            <w:tcBorders>
              <w:top w:val="nil"/>
              <w:left w:val="single" w:sz="8" w:space="0" w:color="auto"/>
              <w:bottom w:val="single" w:sz="8" w:space="0" w:color="auto"/>
              <w:right w:val="single" w:sz="8"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прочая дебиторская задолженность</w:t>
            </w:r>
          </w:p>
        </w:tc>
        <w:tc>
          <w:tcPr>
            <w:tcW w:w="844"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13,3</w:t>
            </w:r>
          </w:p>
        </w:tc>
        <w:tc>
          <w:tcPr>
            <w:tcW w:w="808"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44,8</w:t>
            </w:r>
          </w:p>
        </w:tc>
        <w:tc>
          <w:tcPr>
            <w:tcW w:w="849" w:type="pct"/>
            <w:tcBorders>
              <w:top w:val="nil"/>
              <w:left w:val="nil"/>
              <w:bottom w:val="single" w:sz="8" w:space="0" w:color="auto"/>
              <w:right w:val="single" w:sz="8"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83,7</w:t>
            </w:r>
          </w:p>
        </w:tc>
      </w:tr>
    </w:tbl>
    <w:p w:rsidR="00C8170F" w:rsidRPr="00C8170F" w:rsidRDefault="00C8170F" w:rsidP="00C8170F">
      <w:pPr>
        <w:ind w:firstLine="709"/>
        <w:jc w:val="both"/>
      </w:pPr>
      <w:r w:rsidRPr="00C8170F">
        <w:t>Общая сумма дебиторской задолженности ОАО «Каббалкэнерго» на конец отчётного периода составила  736,9 млн. руб., а  по состоянию на начало отчетного периода – 537,6 млн. руб. Дебиторская задолженность за вычетом резерва по сомнительным долгам по состоянию на 31.12.2014 г. составила  293,9 млн. руб., а  по состоянию на начало отчетного периода  – 209,1 млн. руб.</w:t>
      </w:r>
    </w:p>
    <w:p w:rsidR="00C8170F" w:rsidRPr="00C8170F" w:rsidRDefault="00C8170F" w:rsidP="00C8170F">
      <w:pPr>
        <w:ind w:firstLine="709"/>
        <w:jc w:val="both"/>
      </w:pPr>
      <w:r w:rsidRPr="00C8170F">
        <w:t>По состоянию на 31.12.2014 г. сформирован резерв по сомнительным долгам на сумму 368,7 млн. руб.</w:t>
      </w:r>
    </w:p>
    <w:p w:rsidR="00C8170F" w:rsidRPr="00C8170F" w:rsidRDefault="00C8170F" w:rsidP="00C8170F">
      <w:pPr>
        <w:ind w:firstLine="709"/>
        <w:jc w:val="both"/>
      </w:pPr>
      <w:r w:rsidRPr="00C8170F">
        <w:t xml:space="preserve">В течение отчетного периода списана  нереальная к взысканию дебиторская задолженность на сумму 7,8 млн. руб. </w:t>
      </w:r>
    </w:p>
    <w:p w:rsidR="00C8170F" w:rsidRPr="00C8170F" w:rsidRDefault="00C8170F" w:rsidP="00C8170F">
      <w:pPr>
        <w:ind w:left="-567" w:firstLine="567"/>
        <w:jc w:val="center"/>
        <w:rPr>
          <w:rFonts w:eastAsia="Calibri"/>
          <w:b/>
          <w:sz w:val="22"/>
          <w:lang w:eastAsia="en-US"/>
        </w:rPr>
      </w:pPr>
    </w:p>
    <w:p w:rsidR="00C8170F" w:rsidRPr="00C8170F" w:rsidRDefault="00C8170F" w:rsidP="00C8170F">
      <w:pPr>
        <w:ind w:left="-567" w:firstLine="567"/>
        <w:jc w:val="center"/>
        <w:rPr>
          <w:rFonts w:eastAsia="Calibri"/>
          <w:b/>
          <w:lang w:eastAsia="en-US"/>
        </w:rPr>
      </w:pPr>
      <w:r w:rsidRPr="00C8170F">
        <w:rPr>
          <w:rFonts w:eastAsia="Calibri"/>
          <w:b/>
          <w:lang w:eastAsia="en-US"/>
        </w:rPr>
        <w:t>Анализ изменения кредиторской задолженности, млн. рублей</w:t>
      </w:r>
    </w:p>
    <w:p w:rsidR="00C8170F" w:rsidRPr="00C8170F" w:rsidRDefault="00C8170F" w:rsidP="00C8170F">
      <w:pPr>
        <w:ind w:left="-567" w:firstLine="567"/>
        <w:jc w:val="both"/>
        <w:rPr>
          <w:rFonts w:eastAsia="Calibri"/>
          <w:szCs w:val="28"/>
        </w:rPr>
      </w:pPr>
    </w:p>
    <w:tbl>
      <w:tblPr>
        <w:tblW w:w="4918" w:type="pct"/>
        <w:jc w:val="center"/>
        <w:tblLook w:val="04A0" w:firstRow="1" w:lastRow="0" w:firstColumn="1" w:lastColumn="0" w:noHBand="0" w:noVBand="1"/>
      </w:tblPr>
      <w:tblGrid>
        <w:gridCol w:w="4799"/>
        <w:gridCol w:w="1541"/>
        <w:gridCol w:w="1648"/>
        <w:gridCol w:w="1526"/>
      </w:tblGrid>
      <w:tr w:rsidR="00C8170F" w:rsidRPr="00C8170F" w:rsidTr="00C8170F">
        <w:trPr>
          <w:trHeight w:val="690"/>
          <w:jc w:val="center"/>
        </w:trPr>
        <w:tc>
          <w:tcPr>
            <w:tcW w:w="2522" w:type="pct"/>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Наименование показателя</w:t>
            </w:r>
          </w:p>
        </w:tc>
        <w:tc>
          <w:tcPr>
            <w:tcW w:w="810"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на              31.12.2014г.</w:t>
            </w:r>
          </w:p>
        </w:tc>
        <w:tc>
          <w:tcPr>
            <w:tcW w:w="866"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на 31.12.2013г.</w:t>
            </w:r>
          </w:p>
        </w:tc>
        <w:tc>
          <w:tcPr>
            <w:tcW w:w="803"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 xml:space="preserve">на            31.12.2012г. </w:t>
            </w:r>
          </w:p>
        </w:tc>
      </w:tr>
      <w:tr w:rsidR="00C8170F" w:rsidRPr="00C8170F" w:rsidTr="00C8170F">
        <w:trPr>
          <w:trHeight w:val="477"/>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Кредиторская задолженность, в том числе:</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618,1</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459,9</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463,3</w:t>
            </w:r>
          </w:p>
        </w:tc>
      </w:tr>
      <w:tr w:rsidR="00C8170F" w:rsidRPr="00C8170F" w:rsidTr="00C8170F">
        <w:trPr>
          <w:trHeight w:val="477"/>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lastRenderedPageBreak/>
              <w:t>- поставщики и подрядчики</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481,2</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324,6</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348,7</w:t>
            </w:r>
          </w:p>
        </w:tc>
      </w:tr>
      <w:tr w:rsidR="00C8170F" w:rsidRPr="00C8170F" w:rsidTr="00C8170F">
        <w:trPr>
          <w:trHeight w:val="630"/>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задолженность по оплате труда перед персоналом</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8,2</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7,0</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4,2</w:t>
            </w:r>
          </w:p>
        </w:tc>
      </w:tr>
      <w:tr w:rsidR="00C8170F" w:rsidRPr="00C8170F" w:rsidTr="00C8170F">
        <w:trPr>
          <w:trHeight w:val="583"/>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задолженность перед государственными  внебюджетными фондами</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4,4</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3,8</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1,1</w:t>
            </w:r>
          </w:p>
        </w:tc>
      </w:tr>
      <w:tr w:rsidR="00C8170F" w:rsidRPr="00C8170F" w:rsidTr="00C8170F">
        <w:trPr>
          <w:trHeight w:val="421"/>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задолженность по налогам и сборам</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29,1</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27,8</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14,7</w:t>
            </w:r>
          </w:p>
        </w:tc>
      </w:tr>
      <w:tr w:rsidR="00C8170F" w:rsidRPr="00C8170F" w:rsidTr="00C8170F">
        <w:trPr>
          <w:trHeight w:val="315"/>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авансы полученные</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57,8</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71,0</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37,9</w:t>
            </w:r>
          </w:p>
        </w:tc>
      </w:tr>
      <w:tr w:rsidR="00C8170F" w:rsidRPr="00C8170F" w:rsidTr="00C8170F">
        <w:trPr>
          <w:trHeight w:val="375"/>
          <w:jc w:val="center"/>
        </w:trPr>
        <w:tc>
          <w:tcPr>
            <w:tcW w:w="2522" w:type="pc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прочая кредиторская задолженность</w:t>
            </w:r>
          </w:p>
        </w:tc>
        <w:tc>
          <w:tcPr>
            <w:tcW w:w="81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37,3</w:t>
            </w:r>
          </w:p>
        </w:tc>
        <w:tc>
          <w:tcPr>
            <w:tcW w:w="86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25,8</w:t>
            </w:r>
          </w:p>
        </w:tc>
        <w:tc>
          <w:tcPr>
            <w:tcW w:w="803"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sz w:val="22"/>
                <w:szCs w:val="22"/>
                <w:lang w:eastAsia="en-US"/>
              </w:rPr>
            </w:pPr>
            <w:r w:rsidRPr="00C8170F">
              <w:rPr>
                <w:color w:val="000000"/>
                <w:sz w:val="22"/>
                <w:szCs w:val="22"/>
                <w:lang w:eastAsia="en-US"/>
              </w:rPr>
              <w:t>56,8</w:t>
            </w:r>
          </w:p>
        </w:tc>
      </w:tr>
    </w:tbl>
    <w:p w:rsidR="00C8170F" w:rsidRPr="00C8170F" w:rsidRDefault="00C8170F" w:rsidP="00C8170F">
      <w:pPr>
        <w:ind w:left="-567" w:firstLine="567"/>
        <w:jc w:val="center"/>
        <w:rPr>
          <w:rFonts w:eastAsia="Calibri"/>
          <w:b/>
          <w:sz w:val="28"/>
          <w:szCs w:val="28"/>
          <w:lang w:eastAsia="en-US"/>
        </w:rPr>
      </w:pPr>
    </w:p>
    <w:p w:rsidR="00C8170F" w:rsidRPr="00C8170F" w:rsidRDefault="00C8170F" w:rsidP="00C8170F">
      <w:pPr>
        <w:ind w:firstLine="709"/>
        <w:jc w:val="both"/>
      </w:pPr>
      <w:r w:rsidRPr="00C8170F">
        <w:t xml:space="preserve">По сравнению с 2013 годом, кредиторская задолженность в 2014 году  выросла  на 158,2 млн. руб.,  и по состоянию на 31.12.2014 года составила 618,1 млн. руб. В структуре кредиторской задолженности произошли следующие изменения:  </w:t>
      </w:r>
    </w:p>
    <w:p w:rsidR="00C8170F" w:rsidRPr="00C8170F" w:rsidRDefault="00C8170F" w:rsidP="00C8170F">
      <w:pPr>
        <w:ind w:firstLine="426"/>
        <w:jc w:val="both"/>
      </w:pPr>
      <w:r w:rsidRPr="00C8170F">
        <w:t>задолженность  перед поставщиками и подрядчиками  увеличилась  на 156,6 млн.руб.</w:t>
      </w:r>
    </w:p>
    <w:p w:rsidR="00C8170F" w:rsidRPr="00C8170F" w:rsidRDefault="00C8170F" w:rsidP="00C8170F">
      <w:pPr>
        <w:ind w:firstLine="426"/>
        <w:jc w:val="both"/>
      </w:pPr>
      <w:r w:rsidRPr="00C8170F">
        <w:t xml:space="preserve">задолженность по авансам полученным снизилась на 13,2 млн. руб. </w:t>
      </w:r>
    </w:p>
    <w:p w:rsidR="00C8170F" w:rsidRPr="00C8170F" w:rsidRDefault="00C8170F" w:rsidP="00C8170F">
      <w:pPr>
        <w:ind w:firstLine="426"/>
        <w:jc w:val="both"/>
      </w:pPr>
      <w:r w:rsidRPr="00C8170F">
        <w:t>задолженность по оплате труда перед персоналом  увеличилась  на 1,2 млн. руб.</w:t>
      </w:r>
    </w:p>
    <w:p w:rsidR="00C8170F" w:rsidRPr="00C8170F" w:rsidRDefault="00C8170F" w:rsidP="00C8170F">
      <w:pPr>
        <w:ind w:firstLine="426"/>
        <w:jc w:val="both"/>
      </w:pPr>
      <w:r w:rsidRPr="00C8170F">
        <w:t xml:space="preserve">задолженность по налогам и сборам увеличилась  на  1,3 млн. руб.  </w:t>
      </w:r>
    </w:p>
    <w:p w:rsidR="00C8170F" w:rsidRPr="00C8170F" w:rsidRDefault="00C8170F" w:rsidP="00C8170F">
      <w:pPr>
        <w:ind w:firstLine="426"/>
        <w:jc w:val="both"/>
      </w:pPr>
      <w:r w:rsidRPr="00C8170F">
        <w:t>Задолженность по оплате труда перед персоналом, по налогам и сборам является  текущей.</w:t>
      </w:r>
    </w:p>
    <w:p w:rsidR="00C8170F" w:rsidRPr="00C8170F" w:rsidRDefault="00C8170F" w:rsidP="00C8170F">
      <w:pPr>
        <w:ind w:firstLine="708"/>
        <w:jc w:val="both"/>
      </w:pPr>
      <w:r w:rsidRPr="00C8170F">
        <w:t xml:space="preserve">Просроченная кредиторская задолженность в ОАО «Каббалкэнерго»  по итогам 2014 года  составила  229,8 млн. руб. </w:t>
      </w:r>
    </w:p>
    <w:p w:rsidR="00C8170F" w:rsidRPr="00C8170F" w:rsidRDefault="00C8170F" w:rsidP="00C8170F">
      <w:pPr>
        <w:rPr>
          <w:rFonts w:eastAsia="Calibri"/>
          <w:sz w:val="28"/>
          <w:szCs w:val="28"/>
          <w:lang w:eastAsia="en-US"/>
        </w:rPr>
      </w:pPr>
    </w:p>
    <w:p w:rsidR="00C8170F" w:rsidRPr="00247FEF" w:rsidRDefault="00C8170F" w:rsidP="00C8170F">
      <w:pPr>
        <w:keepNext/>
        <w:jc w:val="center"/>
        <w:outlineLvl w:val="0"/>
        <w:rPr>
          <w:b/>
          <w:sz w:val="28"/>
          <w:szCs w:val="28"/>
        </w:rPr>
      </w:pPr>
      <w:r w:rsidRPr="00247FEF">
        <w:rPr>
          <w:b/>
          <w:sz w:val="28"/>
          <w:szCs w:val="28"/>
        </w:rPr>
        <w:t>2.2. Информация о состоянии чистых активов</w:t>
      </w:r>
    </w:p>
    <w:p w:rsidR="00C8170F" w:rsidRPr="00247FEF" w:rsidRDefault="00C8170F" w:rsidP="00C8170F">
      <w:pPr>
        <w:keepNext/>
        <w:jc w:val="center"/>
        <w:outlineLvl w:val="0"/>
        <w:rPr>
          <w:b/>
          <w:sz w:val="28"/>
          <w:szCs w:val="20"/>
        </w:rPr>
      </w:pPr>
    </w:p>
    <w:p w:rsidR="00C8170F" w:rsidRPr="00C8170F" w:rsidRDefault="00C8170F" w:rsidP="00C8170F">
      <w:pPr>
        <w:jc w:val="center"/>
        <w:rPr>
          <w:b/>
        </w:rPr>
      </w:pPr>
      <w:r w:rsidRPr="00C8170F">
        <w:rPr>
          <w:b/>
        </w:rPr>
        <w:t>Состояние чистых активов ОАО «Каббалкэнерго», тыс. руб.</w:t>
      </w:r>
    </w:p>
    <w:p w:rsidR="00C8170F" w:rsidRPr="00C8170F" w:rsidRDefault="00C8170F" w:rsidP="00C8170F">
      <w:pPr>
        <w:jc w:val="center"/>
        <w:rPr>
          <w:b/>
        </w:rPr>
      </w:pPr>
    </w:p>
    <w:tbl>
      <w:tblPr>
        <w:tblW w:w="5000" w:type="pct"/>
        <w:jc w:val="center"/>
        <w:tblLook w:val="04A0" w:firstRow="1" w:lastRow="0" w:firstColumn="1" w:lastColumn="0" w:noHBand="0" w:noVBand="1"/>
      </w:tblPr>
      <w:tblGrid>
        <w:gridCol w:w="504"/>
        <w:gridCol w:w="5146"/>
        <w:gridCol w:w="1341"/>
        <w:gridCol w:w="1341"/>
        <w:gridCol w:w="1341"/>
      </w:tblGrid>
      <w:tr w:rsidR="00C8170F" w:rsidRPr="00C8170F" w:rsidTr="00C8170F">
        <w:trPr>
          <w:trHeight w:val="573"/>
          <w:jc w:val="center"/>
        </w:trPr>
        <w:tc>
          <w:tcPr>
            <w:tcW w:w="261" w:type="pct"/>
            <w:tcBorders>
              <w:top w:val="single" w:sz="4" w:space="0" w:color="auto"/>
              <w:left w:val="single" w:sz="4" w:space="0" w:color="auto"/>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w:t>
            </w:r>
          </w:p>
        </w:tc>
        <w:tc>
          <w:tcPr>
            <w:tcW w:w="2660" w:type="pct"/>
            <w:tcBorders>
              <w:top w:val="single" w:sz="4" w:space="0" w:color="auto"/>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Наименование показателя</w:t>
            </w:r>
          </w:p>
        </w:tc>
        <w:tc>
          <w:tcPr>
            <w:tcW w:w="693" w:type="pct"/>
            <w:tcBorders>
              <w:top w:val="single" w:sz="4" w:space="0" w:color="auto"/>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2012 г.</w:t>
            </w:r>
          </w:p>
        </w:tc>
        <w:tc>
          <w:tcPr>
            <w:tcW w:w="693" w:type="pct"/>
            <w:tcBorders>
              <w:top w:val="single" w:sz="4" w:space="0" w:color="auto"/>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2013 г.</w:t>
            </w:r>
          </w:p>
        </w:tc>
        <w:tc>
          <w:tcPr>
            <w:tcW w:w="693" w:type="pct"/>
            <w:tcBorders>
              <w:top w:val="single" w:sz="4" w:space="0" w:color="auto"/>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2014 г.</w:t>
            </w:r>
          </w:p>
        </w:tc>
      </w:tr>
      <w:tr w:rsidR="00C8170F" w:rsidRPr="00C8170F" w:rsidTr="00C8170F">
        <w:trPr>
          <w:trHeight w:val="849"/>
          <w:jc w:val="center"/>
        </w:trPr>
        <w:tc>
          <w:tcPr>
            <w:tcW w:w="261" w:type="pct"/>
            <w:tcBorders>
              <w:top w:val="nil"/>
              <w:left w:val="single" w:sz="4" w:space="0" w:color="auto"/>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1</w:t>
            </w:r>
          </w:p>
        </w:tc>
        <w:tc>
          <w:tcPr>
            <w:tcW w:w="2660"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rPr>
                <w:lang w:eastAsia="en-US"/>
              </w:rPr>
            </w:pPr>
            <w:r w:rsidRPr="00C8170F">
              <w:rPr>
                <w:lang w:eastAsia="en-US"/>
              </w:rPr>
              <w:t>Стоимость чистых активов (итого активы, принимаемые к расчету, минус итого пассивы, принимаемые к расчету)</w:t>
            </w:r>
          </w:p>
        </w:tc>
        <w:tc>
          <w:tcPr>
            <w:tcW w:w="6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-288 514</w:t>
            </w:r>
          </w:p>
        </w:tc>
        <w:tc>
          <w:tcPr>
            <w:tcW w:w="6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-227 016</w:t>
            </w:r>
          </w:p>
        </w:tc>
        <w:tc>
          <w:tcPr>
            <w:tcW w:w="693"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-207 941</w:t>
            </w:r>
          </w:p>
        </w:tc>
      </w:tr>
      <w:tr w:rsidR="00C8170F" w:rsidRPr="00C8170F" w:rsidTr="00C8170F">
        <w:trPr>
          <w:trHeight w:val="561"/>
          <w:jc w:val="center"/>
        </w:trPr>
        <w:tc>
          <w:tcPr>
            <w:tcW w:w="261" w:type="pct"/>
            <w:tcBorders>
              <w:top w:val="nil"/>
              <w:left w:val="single" w:sz="4" w:space="0" w:color="auto"/>
              <w:bottom w:val="single" w:sz="4" w:space="0" w:color="auto"/>
              <w:right w:val="single" w:sz="4" w:space="0" w:color="auto"/>
            </w:tcBorders>
            <w:noWrap/>
            <w:vAlign w:val="center"/>
            <w:hideMark/>
          </w:tcPr>
          <w:p w:rsidR="00C8170F" w:rsidRPr="00C8170F" w:rsidRDefault="00C8170F" w:rsidP="00C8170F">
            <w:pPr>
              <w:spacing w:line="276" w:lineRule="auto"/>
              <w:jc w:val="center"/>
              <w:rPr>
                <w:lang w:eastAsia="en-US"/>
              </w:rPr>
            </w:pPr>
            <w:r w:rsidRPr="00C8170F">
              <w:rPr>
                <w:lang w:eastAsia="en-US"/>
              </w:rPr>
              <w:t>2</w:t>
            </w:r>
          </w:p>
        </w:tc>
        <w:tc>
          <w:tcPr>
            <w:tcW w:w="2660" w:type="pct"/>
            <w:tcBorders>
              <w:top w:val="nil"/>
              <w:left w:val="nil"/>
              <w:bottom w:val="single" w:sz="4" w:space="0" w:color="auto"/>
              <w:right w:val="single" w:sz="4" w:space="0" w:color="auto"/>
            </w:tcBorders>
            <w:noWrap/>
            <w:vAlign w:val="center"/>
            <w:hideMark/>
          </w:tcPr>
          <w:p w:rsidR="00C8170F" w:rsidRPr="00C8170F" w:rsidRDefault="00C8170F" w:rsidP="00C8170F">
            <w:pPr>
              <w:spacing w:line="276" w:lineRule="auto"/>
              <w:rPr>
                <w:lang w:eastAsia="en-US"/>
              </w:rPr>
            </w:pPr>
            <w:r w:rsidRPr="00C8170F">
              <w:rPr>
                <w:lang w:eastAsia="en-US"/>
              </w:rPr>
              <w:t>Уставный капитал</w:t>
            </w:r>
          </w:p>
        </w:tc>
        <w:tc>
          <w:tcPr>
            <w:tcW w:w="693"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lang w:eastAsia="en-US"/>
              </w:rPr>
            </w:pPr>
            <w:r w:rsidRPr="00C8170F">
              <w:rPr>
                <w:lang w:eastAsia="en-US"/>
              </w:rPr>
              <w:t>582 997</w:t>
            </w:r>
          </w:p>
        </w:tc>
        <w:tc>
          <w:tcPr>
            <w:tcW w:w="693"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lang w:eastAsia="en-US"/>
              </w:rPr>
            </w:pPr>
            <w:r w:rsidRPr="00C8170F">
              <w:rPr>
                <w:lang w:eastAsia="en-US"/>
              </w:rPr>
              <w:t>582 997</w:t>
            </w:r>
          </w:p>
        </w:tc>
        <w:tc>
          <w:tcPr>
            <w:tcW w:w="693" w:type="pct"/>
            <w:tcBorders>
              <w:top w:val="nil"/>
              <w:left w:val="nil"/>
              <w:bottom w:val="single" w:sz="4" w:space="0" w:color="auto"/>
              <w:right w:val="single" w:sz="4" w:space="0" w:color="auto"/>
            </w:tcBorders>
            <w:shd w:val="clear" w:color="auto" w:fill="FFFFFF"/>
            <w:noWrap/>
            <w:vAlign w:val="center"/>
            <w:hideMark/>
          </w:tcPr>
          <w:p w:rsidR="00C8170F" w:rsidRPr="00C8170F" w:rsidRDefault="00C8170F" w:rsidP="00C8170F">
            <w:pPr>
              <w:spacing w:line="276" w:lineRule="auto"/>
              <w:jc w:val="center"/>
              <w:rPr>
                <w:lang w:eastAsia="en-US"/>
              </w:rPr>
            </w:pPr>
            <w:r w:rsidRPr="00C8170F">
              <w:rPr>
                <w:lang w:eastAsia="en-US"/>
              </w:rPr>
              <w:t>582 99</w:t>
            </w:r>
            <w:r w:rsidR="00685206">
              <w:rPr>
                <w:lang w:eastAsia="en-US"/>
              </w:rPr>
              <w:t>7</w:t>
            </w:r>
          </w:p>
        </w:tc>
      </w:tr>
    </w:tbl>
    <w:p w:rsidR="00C8170F" w:rsidRPr="00C8170F" w:rsidRDefault="00C8170F" w:rsidP="00C8170F">
      <w:pPr>
        <w:tabs>
          <w:tab w:val="left" w:pos="1134"/>
        </w:tabs>
        <w:ind w:firstLine="709"/>
        <w:jc w:val="both"/>
      </w:pPr>
    </w:p>
    <w:p w:rsidR="00C8170F" w:rsidRPr="00C8170F" w:rsidRDefault="00C8170F" w:rsidP="00C8170F">
      <w:pPr>
        <w:tabs>
          <w:tab w:val="left" w:pos="1134"/>
        </w:tabs>
        <w:ind w:firstLine="709"/>
        <w:jc w:val="both"/>
      </w:pPr>
      <w:r w:rsidRPr="00C8170F">
        <w:t>Чистые активы Общества за рассматриваемый период ниже уставного капитала Общества. Причиной такого соотношения являются убытки прошлых лет.                                   ОАО «Каббалкэнерго» было реформировано в 2006 году. До момента реорганизации Общество совмещало деятельность по производству, передаче, сбыту электроэнергии, осуществляло дополнительную эмиссию акций для привлечения источников финансирования строительства объектов гидрогенерации, что объясняет высокое значение уставного капитала Общества. На момент реорганизации непокрытый убыток Общества составлял 439 млн. руб. Отрицательная рентабельность деятельности Общества в 2007-2011 гг. обусловлена получением убытков от переоценки долгосрочных финансовых вложений, списанием долгов, нереальных к взысканию, созданием резерва по сомнительным долгам.</w:t>
      </w:r>
    </w:p>
    <w:p w:rsidR="00C8170F" w:rsidRPr="00C8170F" w:rsidRDefault="00C8170F" w:rsidP="00C8170F">
      <w:pPr>
        <w:tabs>
          <w:tab w:val="left" w:pos="1134"/>
        </w:tabs>
        <w:ind w:firstLine="709"/>
        <w:jc w:val="both"/>
      </w:pPr>
      <w:r w:rsidRPr="00C8170F">
        <w:t>В 2015 году запланировано дальнейшее снижение кредиторской задолженности, что увеличит стоимость чистых активов Общества. По достижении стоимости чистых активов положительной величины Обществом будет рассмотрен вопрос о снижении уставного капитала.</w:t>
      </w:r>
    </w:p>
    <w:p w:rsidR="00C8170F" w:rsidRPr="00C8170F" w:rsidRDefault="00C8170F" w:rsidP="00C8170F">
      <w:pPr>
        <w:tabs>
          <w:tab w:val="left" w:pos="1134"/>
        </w:tabs>
        <w:ind w:firstLine="709"/>
        <w:jc w:val="both"/>
      </w:pPr>
      <w:r w:rsidRPr="00C8170F">
        <w:lastRenderedPageBreak/>
        <w:t>Меры по приведению стоимости чистых активов в соответствие с величиной уставного капитала:</w:t>
      </w:r>
    </w:p>
    <w:p w:rsidR="00C8170F" w:rsidRPr="00C8170F" w:rsidRDefault="00C8170F" w:rsidP="00C8170F">
      <w:pPr>
        <w:tabs>
          <w:tab w:val="left" w:pos="1134"/>
        </w:tabs>
        <w:ind w:firstLine="709"/>
        <w:jc w:val="both"/>
      </w:pPr>
      <w:r w:rsidRPr="00C8170F">
        <w:t xml:space="preserve">1) взыскание дебиторской задолженности потребителей, в том числе задолженности включенной в резерв по сомнительным долгам; </w:t>
      </w:r>
    </w:p>
    <w:p w:rsidR="00C8170F" w:rsidRPr="00C8170F" w:rsidRDefault="00C8170F" w:rsidP="00C8170F">
      <w:pPr>
        <w:tabs>
          <w:tab w:val="left" w:pos="1134"/>
        </w:tabs>
        <w:ind w:firstLine="709"/>
        <w:jc w:val="both"/>
      </w:pPr>
      <w:r w:rsidRPr="00C8170F">
        <w:t>2) возврат Обществу выданных займов;</w:t>
      </w:r>
    </w:p>
    <w:p w:rsidR="00C8170F" w:rsidRPr="00C8170F" w:rsidRDefault="00C8170F" w:rsidP="00C8170F">
      <w:pPr>
        <w:ind w:firstLine="709"/>
        <w:rPr>
          <w:rFonts w:eastAsia="Calibri"/>
          <w:b/>
          <w:lang w:eastAsia="en-US"/>
        </w:rPr>
      </w:pPr>
      <w:r w:rsidRPr="00C8170F">
        <w:t>3) погашение кредиторской задолженности за счет поступивших средств от погашения дебиторской задолженности и полученной прибыли текущего года.</w:t>
      </w:r>
    </w:p>
    <w:p w:rsidR="00C8170F" w:rsidRPr="00C8170F" w:rsidRDefault="00C8170F" w:rsidP="00C8170F">
      <w:pPr>
        <w:ind w:firstLine="709"/>
        <w:jc w:val="center"/>
        <w:rPr>
          <w:rFonts w:eastAsia="Calibri"/>
          <w:b/>
          <w:lang w:eastAsia="en-US"/>
        </w:rPr>
      </w:pPr>
    </w:p>
    <w:p w:rsidR="00C8170F" w:rsidRPr="00247FEF" w:rsidRDefault="00C8170F" w:rsidP="00C8170F">
      <w:pPr>
        <w:keepNext/>
        <w:jc w:val="center"/>
        <w:outlineLvl w:val="0"/>
        <w:rPr>
          <w:b/>
          <w:sz w:val="28"/>
          <w:szCs w:val="28"/>
        </w:rPr>
      </w:pPr>
      <w:r w:rsidRPr="00247FEF">
        <w:rPr>
          <w:b/>
          <w:sz w:val="28"/>
          <w:szCs w:val="28"/>
        </w:rPr>
        <w:t>2.3. Информация о распределении прибыли Общества</w:t>
      </w:r>
    </w:p>
    <w:p w:rsidR="00C8170F" w:rsidRPr="00C8170F" w:rsidRDefault="00C8170F" w:rsidP="00C8170F">
      <w:pPr>
        <w:jc w:val="center"/>
        <w:rPr>
          <w:rFonts w:eastAsia="Calibri"/>
          <w:b/>
          <w:lang w:eastAsia="en-US"/>
        </w:rPr>
      </w:pPr>
    </w:p>
    <w:p w:rsidR="00C8170F" w:rsidRPr="00C8170F" w:rsidRDefault="00C8170F" w:rsidP="00C8170F">
      <w:pPr>
        <w:ind w:left="-567" w:firstLine="567"/>
        <w:jc w:val="center"/>
        <w:rPr>
          <w:rFonts w:eastAsia="Calibri"/>
          <w:b/>
          <w:lang w:eastAsia="en-US"/>
        </w:rPr>
      </w:pPr>
      <w:r w:rsidRPr="00C8170F">
        <w:rPr>
          <w:rFonts w:eastAsia="Calibri"/>
          <w:b/>
          <w:lang w:eastAsia="en-US"/>
        </w:rPr>
        <w:t>Распределение прибыли в 2012-2014 гг.</w:t>
      </w:r>
    </w:p>
    <w:p w:rsidR="00C8170F" w:rsidRPr="00C8170F" w:rsidRDefault="00C8170F" w:rsidP="00C8170F">
      <w:pPr>
        <w:ind w:left="-567" w:firstLine="567"/>
        <w:jc w:val="center"/>
        <w:rPr>
          <w:rFonts w:eastAsia="Calibri"/>
          <w:b/>
          <w:lang w:eastAsia="en-US"/>
        </w:rPr>
      </w:pPr>
    </w:p>
    <w:tbl>
      <w:tblPr>
        <w:tblW w:w="5000" w:type="pct"/>
        <w:jc w:val="center"/>
        <w:tblLook w:val="04A0" w:firstRow="1" w:lastRow="0" w:firstColumn="1" w:lastColumn="0" w:noHBand="0" w:noVBand="1"/>
      </w:tblPr>
      <w:tblGrid>
        <w:gridCol w:w="2897"/>
        <w:gridCol w:w="1813"/>
        <w:gridCol w:w="1269"/>
        <w:gridCol w:w="1232"/>
        <w:gridCol w:w="1232"/>
        <w:gridCol w:w="1230"/>
      </w:tblGrid>
      <w:tr w:rsidR="00C8170F" w:rsidRPr="00C8170F" w:rsidTr="00C8170F">
        <w:trPr>
          <w:trHeight w:val="315"/>
          <w:jc w:val="center"/>
        </w:trPr>
        <w:tc>
          <w:tcPr>
            <w:tcW w:w="2433" w:type="pct"/>
            <w:gridSpan w:val="2"/>
            <w:vMerge w:val="restart"/>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 xml:space="preserve">Показатель </w:t>
            </w:r>
          </w:p>
        </w:tc>
        <w:tc>
          <w:tcPr>
            <w:tcW w:w="656"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за 2011 г.</w:t>
            </w:r>
          </w:p>
        </w:tc>
        <w:tc>
          <w:tcPr>
            <w:tcW w:w="637"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за 2012 г.</w:t>
            </w:r>
          </w:p>
        </w:tc>
        <w:tc>
          <w:tcPr>
            <w:tcW w:w="637" w:type="pct"/>
            <w:tcBorders>
              <w:top w:val="single" w:sz="4" w:space="0" w:color="auto"/>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за 2013 г.</w:t>
            </w:r>
          </w:p>
        </w:tc>
        <w:tc>
          <w:tcPr>
            <w:tcW w:w="637" w:type="pct"/>
            <w:vMerge w:val="restart"/>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2013 /2012 %</w:t>
            </w:r>
          </w:p>
        </w:tc>
      </w:tr>
      <w:tr w:rsidR="00C8170F" w:rsidRPr="00C8170F" w:rsidTr="00C8170F">
        <w:trPr>
          <w:trHeight w:val="630"/>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rPr>
                <w:color w:val="000000"/>
                <w:lang w:eastAsia="en-US"/>
              </w:rPr>
            </w:pP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(ГОСА 2012)</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(ГОСА 2013)</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(ГОСА 2014)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rPr>
                <w:color w:val="000000"/>
                <w:lang w:eastAsia="en-US"/>
              </w:rPr>
            </w:pPr>
          </w:p>
        </w:tc>
      </w:tr>
      <w:tr w:rsidR="00C8170F" w:rsidRPr="00C8170F" w:rsidTr="00C8170F">
        <w:trPr>
          <w:trHeight w:val="585"/>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ind w:leftChars="58" w:left="139" w:firstLine="1"/>
              <w:rPr>
                <w:color w:val="000000"/>
                <w:lang w:eastAsia="en-US"/>
              </w:rPr>
            </w:pPr>
            <w:r w:rsidRPr="00C8170F">
              <w:rPr>
                <w:color w:val="000000"/>
                <w:lang w:eastAsia="en-US"/>
              </w:rPr>
              <w:t>Нераспределенная чистая  прибыль всего, в т.ч.:</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-45 545</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108 694</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61 498</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57%</w:t>
            </w:r>
          </w:p>
        </w:tc>
      </w:tr>
      <w:tr w:rsidR="00C8170F" w:rsidRPr="00C8170F" w:rsidTr="00C8170F">
        <w:trPr>
          <w:trHeight w:val="315"/>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Резервный фонд</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3 310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5 435</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3 075</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57%</w:t>
            </w:r>
          </w:p>
        </w:tc>
      </w:tr>
      <w:tr w:rsidR="00C8170F" w:rsidRPr="00C8170F" w:rsidTr="00C8170F">
        <w:trPr>
          <w:trHeight w:val="315"/>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Прибыль на развитие</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103 259</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r w:rsidR="00C8170F" w:rsidRPr="00C8170F" w:rsidTr="00C8170F">
        <w:trPr>
          <w:trHeight w:val="315"/>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xml:space="preserve">  Дивиденды</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r w:rsidR="00C8170F" w:rsidRPr="00C8170F" w:rsidTr="00C8170F">
        <w:trPr>
          <w:trHeight w:val="315"/>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Погашение убытков прошлых лет</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58 423</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r w:rsidR="00C8170F" w:rsidRPr="00C8170F" w:rsidTr="00C8170F">
        <w:trPr>
          <w:trHeight w:val="315"/>
          <w:jc w:val="center"/>
        </w:trPr>
        <w:tc>
          <w:tcPr>
            <w:tcW w:w="1497" w:type="pct"/>
            <w:vMerge w:val="restart"/>
            <w:tcBorders>
              <w:top w:val="nil"/>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xml:space="preserve">  На выплату  дивидендов</w:t>
            </w:r>
          </w:p>
        </w:tc>
        <w:tc>
          <w:tcPr>
            <w:tcW w:w="9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тыс. руб.</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r w:rsidR="00C8170F" w:rsidRPr="00C8170F" w:rsidTr="00C8170F">
        <w:trPr>
          <w:trHeight w:val="315"/>
          <w:jc w:val="center"/>
        </w:trPr>
        <w:tc>
          <w:tcPr>
            <w:tcW w:w="0" w:type="auto"/>
            <w:vMerge/>
            <w:tcBorders>
              <w:top w:val="nil"/>
              <w:left w:val="single" w:sz="4" w:space="0" w:color="auto"/>
              <w:bottom w:val="single" w:sz="4" w:space="0" w:color="auto"/>
              <w:right w:val="single" w:sz="4" w:space="0" w:color="auto"/>
            </w:tcBorders>
            <w:vAlign w:val="center"/>
            <w:hideMark/>
          </w:tcPr>
          <w:p w:rsidR="00C8170F" w:rsidRPr="00C8170F" w:rsidRDefault="00C8170F" w:rsidP="00C8170F">
            <w:pPr>
              <w:rPr>
                <w:color w:val="000000"/>
                <w:lang w:eastAsia="en-US"/>
              </w:rPr>
            </w:pPr>
          </w:p>
        </w:tc>
        <w:tc>
          <w:tcPr>
            <w:tcW w:w="9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 от ЧП</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r w:rsidR="00C8170F" w:rsidRPr="00C8170F" w:rsidTr="00C8170F">
        <w:trPr>
          <w:trHeight w:val="349"/>
          <w:jc w:val="center"/>
        </w:trPr>
        <w:tc>
          <w:tcPr>
            <w:tcW w:w="2433" w:type="pct"/>
            <w:gridSpan w:val="2"/>
            <w:tcBorders>
              <w:top w:val="single" w:sz="4" w:space="0" w:color="auto"/>
              <w:left w:val="single" w:sz="4" w:space="0" w:color="auto"/>
              <w:bottom w:val="single" w:sz="4" w:space="0" w:color="auto"/>
              <w:right w:val="single" w:sz="4" w:space="0" w:color="auto"/>
            </w:tcBorders>
            <w:vAlign w:val="center"/>
            <w:hideMark/>
          </w:tcPr>
          <w:p w:rsidR="00C8170F" w:rsidRPr="00C8170F" w:rsidRDefault="00C8170F" w:rsidP="00C8170F">
            <w:pPr>
              <w:spacing w:line="276" w:lineRule="auto"/>
              <w:rPr>
                <w:color w:val="000000"/>
                <w:lang w:eastAsia="en-US"/>
              </w:rPr>
            </w:pPr>
            <w:r w:rsidRPr="00C8170F">
              <w:rPr>
                <w:color w:val="000000"/>
                <w:lang w:eastAsia="en-US"/>
              </w:rPr>
              <w:t xml:space="preserve">  Размер дивиденда на 1 акцию, руб.</w:t>
            </w:r>
          </w:p>
        </w:tc>
        <w:tc>
          <w:tcPr>
            <w:tcW w:w="656"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lang w:eastAsia="en-US"/>
              </w:rPr>
            </w:pPr>
            <w:r w:rsidRPr="00C8170F">
              <w:rPr>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c>
          <w:tcPr>
            <w:tcW w:w="637" w:type="pct"/>
            <w:tcBorders>
              <w:top w:val="nil"/>
              <w:left w:val="nil"/>
              <w:bottom w:val="single" w:sz="4" w:space="0" w:color="auto"/>
              <w:right w:val="single" w:sz="4" w:space="0" w:color="auto"/>
            </w:tcBorders>
            <w:vAlign w:val="center"/>
            <w:hideMark/>
          </w:tcPr>
          <w:p w:rsidR="00C8170F" w:rsidRPr="00C8170F" w:rsidRDefault="00C8170F" w:rsidP="00C8170F">
            <w:pPr>
              <w:spacing w:line="276" w:lineRule="auto"/>
              <w:jc w:val="center"/>
              <w:rPr>
                <w:color w:val="000000"/>
                <w:lang w:eastAsia="en-US"/>
              </w:rPr>
            </w:pPr>
            <w:r w:rsidRPr="00C8170F">
              <w:rPr>
                <w:color w:val="000000"/>
                <w:lang w:eastAsia="en-US"/>
              </w:rPr>
              <w:t>0%</w:t>
            </w:r>
          </w:p>
        </w:tc>
      </w:tr>
    </w:tbl>
    <w:p w:rsidR="00B74B55" w:rsidRPr="00082D6C" w:rsidRDefault="00B74B55" w:rsidP="00B74B55">
      <w:pPr>
        <w:ind w:left="360"/>
        <w:jc w:val="center"/>
        <w:rPr>
          <w:b/>
        </w:rPr>
      </w:pPr>
    </w:p>
    <w:p w:rsidR="00B74B55" w:rsidRPr="00082D6C" w:rsidRDefault="00B74B55" w:rsidP="00247FEF">
      <w:pPr>
        <w:rPr>
          <w:b/>
        </w:rPr>
      </w:pPr>
    </w:p>
    <w:p w:rsidR="00B74B55" w:rsidRDefault="00B74B55" w:rsidP="00B74B55">
      <w:pPr>
        <w:ind w:left="360"/>
        <w:jc w:val="center"/>
        <w:rPr>
          <w:b/>
        </w:rPr>
      </w:pPr>
      <w:r w:rsidRPr="00082D6C">
        <w:rPr>
          <w:b/>
        </w:rPr>
        <w:t>Анализ финансового состояния и результатов деятельности                                             ОАО «Каббалкэнерго» за 2012-2014 гг.</w:t>
      </w:r>
    </w:p>
    <w:p w:rsidR="00B74B55" w:rsidRDefault="00B74B55" w:rsidP="00B74B55">
      <w:pPr>
        <w:ind w:left="360"/>
        <w:jc w:val="center"/>
        <w:rPr>
          <w:b/>
        </w:rPr>
      </w:pPr>
    </w:p>
    <w:tbl>
      <w:tblPr>
        <w:tblW w:w="5000" w:type="pct"/>
        <w:tblLook w:val="04A0" w:firstRow="1" w:lastRow="0" w:firstColumn="1" w:lastColumn="0" w:noHBand="0" w:noVBand="1"/>
      </w:tblPr>
      <w:tblGrid>
        <w:gridCol w:w="4018"/>
        <w:gridCol w:w="1078"/>
        <w:gridCol w:w="1032"/>
        <w:gridCol w:w="905"/>
        <w:gridCol w:w="1320"/>
        <w:gridCol w:w="1320"/>
      </w:tblGrid>
      <w:tr w:rsidR="00B74B55" w:rsidRPr="00905B6C" w:rsidTr="00247FEF">
        <w:trPr>
          <w:trHeight w:val="855"/>
        </w:trPr>
        <w:tc>
          <w:tcPr>
            <w:tcW w:w="2149" w:type="pct"/>
            <w:tcBorders>
              <w:top w:val="single" w:sz="8" w:space="0" w:color="auto"/>
              <w:left w:val="single" w:sz="8" w:space="0" w:color="auto"/>
              <w:bottom w:val="single" w:sz="4" w:space="0" w:color="auto"/>
              <w:right w:val="single" w:sz="4"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Наименование показателя</w:t>
            </w:r>
          </w:p>
        </w:tc>
        <w:tc>
          <w:tcPr>
            <w:tcW w:w="629" w:type="pct"/>
            <w:tcBorders>
              <w:top w:val="single" w:sz="8" w:space="0" w:color="auto"/>
              <w:left w:val="nil"/>
              <w:bottom w:val="single" w:sz="4" w:space="0" w:color="auto"/>
              <w:right w:val="single" w:sz="4"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2012 г.</w:t>
            </w:r>
          </w:p>
        </w:tc>
        <w:tc>
          <w:tcPr>
            <w:tcW w:w="605" w:type="pct"/>
            <w:tcBorders>
              <w:top w:val="single" w:sz="8" w:space="0" w:color="auto"/>
              <w:left w:val="nil"/>
              <w:bottom w:val="single" w:sz="4" w:space="0" w:color="auto"/>
              <w:right w:val="single" w:sz="4"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2013 г.</w:t>
            </w:r>
          </w:p>
        </w:tc>
        <w:tc>
          <w:tcPr>
            <w:tcW w:w="539" w:type="pct"/>
            <w:tcBorders>
              <w:top w:val="single" w:sz="8" w:space="0" w:color="auto"/>
              <w:left w:val="nil"/>
              <w:bottom w:val="single" w:sz="4" w:space="0" w:color="auto"/>
              <w:right w:val="single" w:sz="4"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2014 г.</w:t>
            </w:r>
          </w:p>
        </w:tc>
        <w:tc>
          <w:tcPr>
            <w:tcW w:w="539" w:type="pct"/>
            <w:tcBorders>
              <w:top w:val="single" w:sz="8" w:space="0" w:color="auto"/>
              <w:left w:val="nil"/>
              <w:bottom w:val="single" w:sz="4" w:space="0" w:color="auto"/>
              <w:right w:val="single" w:sz="4"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Изменения 2014 к 2012</w:t>
            </w:r>
          </w:p>
        </w:tc>
        <w:tc>
          <w:tcPr>
            <w:tcW w:w="539" w:type="pct"/>
            <w:tcBorders>
              <w:top w:val="single" w:sz="8" w:space="0" w:color="auto"/>
              <w:left w:val="nil"/>
              <w:bottom w:val="single" w:sz="4" w:space="0" w:color="auto"/>
              <w:right w:val="single" w:sz="8" w:space="0" w:color="auto"/>
            </w:tcBorders>
            <w:shd w:val="clear" w:color="auto" w:fill="auto"/>
            <w:vAlign w:val="center"/>
            <w:hideMark/>
          </w:tcPr>
          <w:p w:rsidR="00B74B55" w:rsidRPr="00905B6C" w:rsidRDefault="00B74B55" w:rsidP="00247FEF">
            <w:pPr>
              <w:jc w:val="center"/>
              <w:rPr>
                <w:b/>
                <w:bCs/>
                <w:sz w:val="22"/>
                <w:szCs w:val="22"/>
              </w:rPr>
            </w:pPr>
            <w:r w:rsidRPr="00905B6C">
              <w:rPr>
                <w:b/>
                <w:bCs/>
                <w:sz w:val="22"/>
                <w:szCs w:val="22"/>
              </w:rPr>
              <w:t>Изменения 2014 к 2013</w:t>
            </w:r>
          </w:p>
        </w:tc>
      </w:tr>
      <w:tr w:rsidR="00B74B55" w:rsidRPr="00905B6C" w:rsidTr="00247FEF">
        <w:trPr>
          <w:trHeight w:val="300"/>
        </w:trPr>
        <w:tc>
          <w:tcPr>
            <w:tcW w:w="5000" w:type="pct"/>
            <w:gridSpan w:val="6"/>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B74B55" w:rsidRPr="00905B6C" w:rsidRDefault="00B74B55" w:rsidP="00247FEF">
            <w:pPr>
              <w:jc w:val="center"/>
              <w:rPr>
                <w:b/>
                <w:bCs/>
                <w:sz w:val="22"/>
                <w:szCs w:val="22"/>
              </w:rPr>
            </w:pPr>
            <w:r w:rsidRPr="00905B6C">
              <w:rPr>
                <w:b/>
                <w:bCs/>
                <w:sz w:val="22"/>
                <w:szCs w:val="22"/>
              </w:rPr>
              <w:t>Показатели ликвидности</w:t>
            </w:r>
          </w:p>
        </w:tc>
      </w:tr>
      <w:tr w:rsidR="00B74B55" w:rsidRPr="00905B6C" w:rsidTr="00247FEF">
        <w:trPr>
          <w:trHeight w:val="315"/>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sz w:val="22"/>
                <w:szCs w:val="22"/>
              </w:rPr>
            </w:pPr>
            <w:r w:rsidRPr="00F4229A">
              <w:rPr>
                <w:bCs/>
                <w:sz w:val="22"/>
                <w:szCs w:val="22"/>
              </w:rPr>
              <w:t>Коэффициент абсолютной ликвидности</w:t>
            </w:r>
          </w:p>
        </w:tc>
        <w:tc>
          <w:tcPr>
            <w:tcW w:w="62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sz w:val="22"/>
                <w:szCs w:val="22"/>
              </w:rPr>
            </w:pPr>
            <w:r w:rsidRPr="00F4229A">
              <w:rPr>
                <w:bCs/>
                <w:sz w:val="22"/>
                <w:szCs w:val="22"/>
              </w:rPr>
              <w:t>0,0</w:t>
            </w:r>
          </w:p>
        </w:tc>
        <w:tc>
          <w:tcPr>
            <w:tcW w:w="605"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sz w:val="22"/>
                <w:szCs w:val="22"/>
              </w:rPr>
            </w:pPr>
            <w:r w:rsidRPr="00F4229A">
              <w:rPr>
                <w:bCs/>
                <w:sz w:val="22"/>
                <w:szCs w:val="22"/>
              </w:rPr>
              <w:t>0,1</w:t>
            </w:r>
          </w:p>
        </w:tc>
        <w:tc>
          <w:tcPr>
            <w:tcW w:w="53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sz w:val="22"/>
                <w:szCs w:val="22"/>
              </w:rPr>
            </w:pPr>
            <w:r w:rsidRPr="00F4229A">
              <w:rPr>
                <w:bCs/>
                <w:sz w:val="22"/>
                <w:szCs w:val="22"/>
              </w:rPr>
              <w:t>0,2</w:t>
            </w:r>
          </w:p>
        </w:tc>
        <w:tc>
          <w:tcPr>
            <w:tcW w:w="53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0,2</w:t>
            </w:r>
          </w:p>
        </w:tc>
        <w:tc>
          <w:tcPr>
            <w:tcW w:w="539" w:type="pct"/>
            <w:tcBorders>
              <w:top w:val="nil"/>
              <w:left w:val="nil"/>
              <w:bottom w:val="single" w:sz="4" w:space="0" w:color="auto"/>
              <w:right w:val="single" w:sz="8" w:space="0" w:color="auto"/>
            </w:tcBorders>
            <w:shd w:val="clear" w:color="auto" w:fill="auto"/>
            <w:vAlign w:val="center"/>
            <w:hideMark/>
          </w:tcPr>
          <w:p w:rsidR="00B74B55" w:rsidRPr="00F4229A" w:rsidRDefault="00B74B55" w:rsidP="00247FEF">
            <w:pPr>
              <w:jc w:val="center"/>
              <w:rPr>
                <w:bCs/>
              </w:rPr>
            </w:pPr>
            <w:r w:rsidRPr="00F4229A">
              <w:rPr>
                <w:bCs/>
              </w:rPr>
              <w:t>0,1</w:t>
            </w:r>
          </w:p>
        </w:tc>
      </w:tr>
      <w:tr w:rsidR="00B74B55" w:rsidRPr="00905B6C" w:rsidTr="00247FEF">
        <w:trPr>
          <w:trHeight w:val="300"/>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sz w:val="22"/>
                <w:szCs w:val="22"/>
              </w:rPr>
            </w:pPr>
            <w:r w:rsidRPr="00F4229A">
              <w:rPr>
                <w:bCs/>
                <w:sz w:val="22"/>
                <w:szCs w:val="22"/>
              </w:rPr>
              <w:t>Коэффициент срочной ликвидности</w:t>
            </w:r>
          </w:p>
        </w:tc>
        <w:tc>
          <w:tcPr>
            <w:tcW w:w="62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0,5</w:t>
            </w:r>
          </w:p>
        </w:tc>
        <w:tc>
          <w:tcPr>
            <w:tcW w:w="605"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0,5</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0,6</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0,2</w:t>
            </w:r>
          </w:p>
        </w:tc>
        <w:tc>
          <w:tcPr>
            <w:tcW w:w="539" w:type="pct"/>
            <w:tcBorders>
              <w:top w:val="nil"/>
              <w:left w:val="nil"/>
              <w:bottom w:val="single" w:sz="4" w:space="0" w:color="auto"/>
              <w:right w:val="single" w:sz="8"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0,1</w:t>
            </w:r>
          </w:p>
        </w:tc>
      </w:tr>
      <w:tr w:rsidR="00B74B55" w:rsidRPr="00905B6C" w:rsidTr="00247FEF">
        <w:trPr>
          <w:trHeight w:val="300"/>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sz w:val="22"/>
                <w:szCs w:val="22"/>
              </w:rPr>
            </w:pPr>
            <w:r w:rsidRPr="00F4229A">
              <w:rPr>
                <w:bCs/>
                <w:sz w:val="22"/>
                <w:szCs w:val="22"/>
              </w:rPr>
              <w:t>Коэффициент текущей  ликвидности</w:t>
            </w:r>
          </w:p>
        </w:tc>
        <w:tc>
          <w:tcPr>
            <w:tcW w:w="62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0,5</w:t>
            </w:r>
          </w:p>
        </w:tc>
        <w:tc>
          <w:tcPr>
            <w:tcW w:w="605"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0,6</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0,7</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0,2</w:t>
            </w:r>
          </w:p>
        </w:tc>
        <w:tc>
          <w:tcPr>
            <w:tcW w:w="539" w:type="pct"/>
            <w:tcBorders>
              <w:top w:val="nil"/>
              <w:left w:val="nil"/>
              <w:bottom w:val="single" w:sz="4" w:space="0" w:color="auto"/>
              <w:right w:val="single" w:sz="8" w:space="0" w:color="auto"/>
            </w:tcBorders>
            <w:shd w:val="clear" w:color="auto" w:fill="auto"/>
            <w:noWrap/>
            <w:vAlign w:val="center"/>
            <w:hideMark/>
          </w:tcPr>
          <w:p w:rsidR="00B74B55" w:rsidRPr="00F4229A" w:rsidRDefault="00B74B55" w:rsidP="00247FEF">
            <w:pPr>
              <w:jc w:val="center"/>
              <w:rPr>
                <w:bCs/>
                <w:sz w:val="22"/>
                <w:szCs w:val="22"/>
              </w:rPr>
            </w:pPr>
            <w:r w:rsidRPr="00F4229A">
              <w:rPr>
                <w:bCs/>
                <w:sz w:val="22"/>
                <w:szCs w:val="22"/>
              </w:rPr>
              <w:t>0,1</w:t>
            </w:r>
          </w:p>
        </w:tc>
      </w:tr>
      <w:tr w:rsidR="00B74B55" w:rsidRPr="00905B6C" w:rsidTr="00247FEF">
        <w:trPr>
          <w:trHeight w:val="315"/>
        </w:trPr>
        <w:tc>
          <w:tcPr>
            <w:tcW w:w="5000" w:type="pct"/>
            <w:gridSpan w:val="6"/>
            <w:tcBorders>
              <w:top w:val="single" w:sz="4" w:space="0" w:color="auto"/>
              <w:left w:val="single" w:sz="8" w:space="0" w:color="auto"/>
              <w:bottom w:val="nil"/>
              <w:right w:val="single" w:sz="8" w:space="0" w:color="000000"/>
            </w:tcBorders>
            <w:shd w:val="clear" w:color="auto" w:fill="auto"/>
            <w:noWrap/>
            <w:vAlign w:val="bottom"/>
            <w:hideMark/>
          </w:tcPr>
          <w:p w:rsidR="00B74B55" w:rsidRPr="00905B6C" w:rsidRDefault="00B74B55" w:rsidP="00247FEF">
            <w:pPr>
              <w:jc w:val="center"/>
              <w:rPr>
                <w:b/>
                <w:bCs/>
                <w:sz w:val="22"/>
                <w:szCs w:val="22"/>
              </w:rPr>
            </w:pPr>
            <w:r w:rsidRPr="00905B6C">
              <w:rPr>
                <w:b/>
                <w:bCs/>
                <w:sz w:val="22"/>
                <w:szCs w:val="22"/>
              </w:rPr>
              <w:t>Показатели финансовой устойчивости</w:t>
            </w:r>
          </w:p>
        </w:tc>
      </w:tr>
      <w:tr w:rsidR="00B74B55" w:rsidRPr="00905B6C" w:rsidTr="00247FEF">
        <w:trPr>
          <w:trHeight w:val="630"/>
        </w:trPr>
        <w:tc>
          <w:tcPr>
            <w:tcW w:w="2149" w:type="pct"/>
            <w:tcBorders>
              <w:top w:val="single" w:sz="8" w:space="0" w:color="auto"/>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t>Коэффициент автономии (финансовой независимости)</w:t>
            </w:r>
          </w:p>
        </w:tc>
        <w:tc>
          <w:tcPr>
            <w:tcW w:w="62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-0,98</w:t>
            </w:r>
          </w:p>
        </w:tc>
        <w:tc>
          <w:tcPr>
            <w:tcW w:w="605"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-0,66</w:t>
            </w:r>
          </w:p>
        </w:tc>
        <w:tc>
          <w:tcPr>
            <w:tcW w:w="53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-0,41</w:t>
            </w:r>
          </w:p>
        </w:tc>
        <w:tc>
          <w:tcPr>
            <w:tcW w:w="53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0,57</w:t>
            </w:r>
          </w:p>
        </w:tc>
        <w:tc>
          <w:tcPr>
            <w:tcW w:w="539" w:type="pct"/>
            <w:tcBorders>
              <w:top w:val="single" w:sz="8" w:space="0" w:color="auto"/>
              <w:left w:val="nil"/>
              <w:bottom w:val="single" w:sz="4" w:space="0" w:color="auto"/>
              <w:right w:val="single" w:sz="8" w:space="0" w:color="auto"/>
            </w:tcBorders>
            <w:shd w:val="clear" w:color="auto" w:fill="auto"/>
            <w:noWrap/>
            <w:vAlign w:val="center"/>
            <w:hideMark/>
          </w:tcPr>
          <w:p w:rsidR="00B74B55" w:rsidRPr="00F4229A" w:rsidRDefault="00B74B55" w:rsidP="00247FEF">
            <w:pPr>
              <w:jc w:val="center"/>
              <w:rPr>
                <w:bCs/>
              </w:rPr>
            </w:pPr>
            <w:r w:rsidRPr="00F4229A">
              <w:rPr>
                <w:bCs/>
              </w:rPr>
              <w:t>0,25</w:t>
            </w:r>
          </w:p>
        </w:tc>
      </w:tr>
      <w:tr w:rsidR="00B74B55" w:rsidRPr="00905B6C" w:rsidTr="00247FEF">
        <w:trPr>
          <w:trHeight w:val="315"/>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t>Отношение совокупного долга к EBITDA</w:t>
            </w:r>
          </w:p>
        </w:tc>
        <w:tc>
          <w:tcPr>
            <w:tcW w:w="62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0,6</w:t>
            </w:r>
          </w:p>
        </w:tc>
        <w:tc>
          <w:tcPr>
            <w:tcW w:w="605"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0,8</w:t>
            </w:r>
          </w:p>
        </w:tc>
        <w:tc>
          <w:tcPr>
            <w:tcW w:w="53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1,1</w:t>
            </w:r>
          </w:p>
        </w:tc>
        <w:tc>
          <w:tcPr>
            <w:tcW w:w="53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0,48</w:t>
            </w:r>
          </w:p>
        </w:tc>
        <w:tc>
          <w:tcPr>
            <w:tcW w:w="539" w:type="pct"/>
            <w:tcBorders>
              <w:top w:val="nil"/>
              <w:left w:val="nil"/>
              <w:bottom w:val="single" w:sz="4" w:space="0" w:color="auto"/>
              <w:right w:val="single" w:sz="8" w:space="0" w:color="auto"/>
            </w:tcBorders>
            <w:shd w:val="clear" w:color="auto" w:fill="auto"/>
            <w:vAlign w:val="center"/>
            <w:hideMark/>
          </w:tcPr>
          <w:p w:rsidR="00B74B55" w:rsidRPr="00F4229A" w:rsidRDefault="00B74B55" w:rsidP="00247FEF">
            <w:pPr>
              <w:jc w:val="center"/>
              <w:rPr>
                <w:bCs/>
              </w:rPr>
            </w:pPr>
            <w:r w:rsidRPr="00F4229A">
              <w:rPr>
                <w:bCs/>
              </w:rPr>
              <w:t>0,29</w:t>
            </w:r>
          </w:p>
        </w:tc>
      </w:tr>
      <w:tr w:rsidR="00B74B55" w:rsidRPr="00905B6C" w:rsidTr="00247FEF">
        <w:trPr>
          <w:trHeight w:val="645"/>
        </w:trPr>
        <w:tc>
          <w:tcPr>
            <w:tcW w:w="2149" w:type="pct"/>
            <w:tcBorders>
              <w:top w:val="nil"/>
              <w:left w:val="single" w:sz="8" w:space="0" w:color="auto"/>
              <w:bottom w:val="single" w:sz="8" w:space="0" w:color="auto"/>
              <w:right w:val="single" w:sz="4" w:space="0" w:color="auto"/>
            </w:tcBorders>
            <w:shd w:val="clear" w:color="auto" w:fill="auto"/>
            <w:vAlign w:val="bottom"/>
            <w:hideMark/>
          </w:tcPr>
          <w:p w:rsidR="00B74B55" w:rsidRPr="00F4229A" w:rsidRDefault="00B74B55" w:rsidP="00247FEF">
            <w:pPr>
              <w:rPr>
                <w:bCs/>
              </w:rPr>
            </w:pPr>
            <w:r w:rsidRPr="00F4229A">
              <w:rPr>
                <w:bCs/>
              </w:rPr>
              <w:t>Коэффициент обеспеченности собственными оборотными средствами</w:t>
            </w:r>
          </w:p>
        </w:tc>
        <w:tc>
          <w:tcPr>
            <w:tcW w:w="62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-0,94</w:t>
            </w:r>
          </w:p>
        </w:tc>
        <w:tc>
          <w:tcPr>
            <w:tcW w:w="605"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-0,75</w:t>
            </w:r>
          </w:p>
        </w:tc>
        <w:tc>
          <w:tcPr>
            <w:tcW w:w="53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-0,46</w:t>
            </w:r>
          </w:p>
        </w:tc>
        <w:tc>
          <w:tcPr>
            <w:tcW w:w="53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0,48</w:t>
            </w:r>
          </w:p>
        </w:tc>
        <w:tc>
          <w:tcPr>
            <w:tcW w:w="539" w:type="pct"/>
            <w:tcBorders>
              <w:top w:val="nil"/>
              <w:left w:val="nil"/>
              <w:bottom w:val="single" w:sz="8" w:space="0" w:color="auto"/>
              <w:right w:val="single" w:sz="8" w:space="0" w:color="auto"/>
            </w:tcBorders>
            <w:shd w:val="clear" w:color="auto" w:fill="auto"/>
            <w:noWrap/>
            <w:vAlign w:val="center"/>
            <w:hideMark/>
          </w:tcPr>
          <w:p w:rsidR="00B74B55" w:rsidRPr="00F4229A" w:rsidRDefault="00B74B55" w:rsidP="00247FEF">
            <w:pPr>
              <w:jc w:val="center"/>
              <w:rPr>
                <w:bCs/>
              </w:rPr>
            </w:pPr>
            <w:r w:rsidRPr="00F4229A">
              <w:rPr>
                <w:bCs/>
              </w:rPr>
              <w:t>0,29</w:t>
            </w:r>
          </w:p>
        </w:tc>
      </w:tr>
      <w:tr w:rsidR="00B74B55" w:rsidRPr="00905B6C" w:rsidTr="00247FEF">
        <w:trPr>
          <w:trHeight w:val="315"/>
        </w:trPr>
        <w:tc>
          <w:tcPr>
            <w:tcW w:w="5000" w:type="pct"/>
            <w:gridSpan w:val="6"/>
            <w:tcBorders>
              <w:top w:val="single" w:sz="4" w:space="0" w:color="auto"/>
              <w:left w:val="single" w:sz="8" w:space="0" w:color="auto"/>
              <w:bottom w:val="nil"/>
              <w:right w:val="single" w:sz="8" w:space="0" w:color="000000"/>
            </w:tcBorders>
            <w:shd w:val="clear" w:color="auto" w:fill="auto"/>
            <w:noWrap/>
            <w:vAlign w:val="bottom"/>
            <w:hideMark/>
          </w:tcPr>
          <w:p w:rsidR="00B74B55" w:rsidRPr="00905B6C" w:rsidRDefault="00B74B55" w:rsidP="00247FEF">
            <w:pPr>
              <w:jc w:val="center"/>
              <w:rPr>
                <w:b/>
                <w:bCs/>
                <w:sz w:val="22"/>
                <w:szCs w:val="22"/>
              </w:rPr>
            </w:pPr>
            <w:r w:rsidRPr="00905B6C">
              <w:rPr>
                <w:b/>
                <w:bCs/>
                <w:sz w:val="22"/>
                <w:szCs w:val="22"/>
              </w:rPr>
              <w:t>Показатели рентабельности</w:t>
            </w:r>
          </w:p>
        </w:tc>
      </w:tr>
      <w:tr w:rsidR="00B74B55" w:rsidRPr="00905B6C" w:rsidTr="00247FEF">
        <w:trPr>
          <w:trHeight w:val="480"/>
        </w:trPr>
        <w:tc>
          <w:tcPr>
            <w:tcW w:w="2149" w:type="pct"/>
            <w:tcBorders>
              <w:top w:val="single" w:sz="8" w:space="0" w:color="auto"/>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t>Рентабельность собственного капитала</w:t>
            </w:r>
          </w:p>
        </w:tc>
        <w:tc>
          <w:tcPr>
            <w:tcW w:w="62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-31,7</w:t>
            </w:r>
          </w:p>
        </w:tc>
        <w:tc>
          <w:tcPr>
            <w:tcW w:w="605"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-23,9</w:t>
            </w:r>
          </w:p>
        </w:tc>
        <w:tc>
          <w:tcPr>
            <w:tcW w:w="53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-8,8</w:t>
            </w:r>
          </w:p>
        </w:tc>
        <w:tc>
          <w:tcPr>
            <w:tcW w:w="539" w:type="pct"/>
            <w:tcBorders>
              <w:top w:val="single" w:sz="8" w:space="0" w:color="auto"/>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22,9</w:t>
            </w:r>
          </w:p>
        </w:tc>
        <w:tc>
          <w:tcPr>
            <w:tcW w:w="539" w:type="pct"/>
            <w:tcBorders>
              <w:top w:val="single" w:sz="8" w:space="0" w:color="auto"/>
              <w:left w:val="nil"/>
              <w:bottom w:val="single" w:sz="4" w:space="0" w:color="auto"/>
              <w:right w:val="single" w:sz="8" w:space="0" w:color="auto"/>
            </w:tcBorders>
            <w:shd w:val="clear" w:color="auto" w:fill="auto"/>
            <w:noWrap/>
            <w:vAlign w:val="center"/>
            <w:hideMark/>
          </w:tcPr>
          <w:p w:rsidR="00B74B55" w:rsidRPr="00F4229A" w:rsidRDefault="00B74B55" w:rsidP="00247FEF">
            <w:pPr>
              <w:jc w:val="center"/>
              <w:rPr>
                <w:bCs/>
              </w:rPr>
            </w:pPr>
            <w:r w:rsidRPr="00F4229A">
              <w:rPr>
                <w:bCs/>
              </w:rPr>
              <w:t>15,1</w:t>
            </w:r>
          </w:p>
        </w:tc>
      </w:tr>
      <w:tr w:rsidR="00B74B55" w:rsidRPr="00905B6C" w:rsidTr="00247FEF">
        <w:trPr>
          <w:trHeight w:val="630"/>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lastRenderedPageBreak/>
              <w:t>Рентабельность совокупных активов (ROTA) по прибыли до налогооблажения</w:t>
            </w:r>
          </w:p>
        </w:tc>
        <w:tc>
          <w:tcPr>
            <w:tcW w:w="62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50,8</w:t>
            </w:r>
          </w:p>
        </w:tc>
        <w:tc>
          <w:tcPr>
            <w:tcW w:w="605"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27,9</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10,2</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-40,6</w:t>
            </w:r>
          </w:p>
        </w:tc>
        <w:tc>
          <w:tcPr>
            <w:tcW w:w="539" w:type="pct"/>
            <w:tcBorders>
              <w:top w:val="nil"/>
              <w:left w:val="nil"/>
              <w:bottom w:val="single" w:sz="4" w:space="0" w:color="auto"/>
              <w:right w:val="single" w:sz="8" w:space="0" w:color="auto"/>
            </w:tcBorders>
            <w:shd w:val="clear" w:color="auto" w:fill="auto"/>
            <w:noWrap/>
            <w:vAlign w:val="center"/>
            <w:hideMark/>
          </w:tcPr>
          <w:p w:rsidR="00B74B55" w:rsidRPr="00F4229A" w:rsidRDefault="00B74B55" w:rsidP="00247FEF">
            <w:pPr>
              <w:jc w:val="center"/>
              <w:rPr>
                <w:bCs/>
              </w:rPr>
            </w:pPr>
            <w:r w:rsidRPr="00F4229A">
              <w:rPr>
                <w:bCs/>
              </w:rPr>
              <w:t>-17,7</w:t>
            </w:r>
          </w:p>
        </w:tc>
      </w:tr>
      <w:tr w:rsidR="00B74B55" w:rsidRPr="00905B6C" w:rsidTr="00247FEF">
        <w:trPr>
          <w:trHeight w:val="330"/>
        </w:trPr>
        <w:tc>
          <w:tcPr>
            <w:tcW w:w="2149" w:type="pct"/>
            <w:tcBorders>
              <w:top w:val="nil"/>
              <w:left w:val="single" w:sz="8" w:space="0" w:color="auto"/>
              <w:bottom w:val="single" w:sz="8" w:space="0" w:color="auto"/>
              <w:right w:val="single" w:sz="4" w:space="0" w:color="auto"/>
            </w:tcBorders>
            <w:shd w:val="clear" w:color="auto" w:fill="auto"/>
            <w:vAlign w:val="bottom"/>
            <w:hideMark/>
          </w:tcPr>
          <w:p w:rsidR="00B74B55" w:rsidRPr="00F4229A" w:rsidRDefault="00B74B55" w:rsidP="00247FEF">
            <w:pPr>
              <w:rPr>
                <w:bCs/>
              </w:rPr>
            </w:pPr>
            <w:r w:rsidRPr="00F4229A">
              <w:rPr>
                <w:bCs/>
              </w:rPr>
              <w:t>Рентабельность EBITDA</w:t>
            </w:r>
          </w:p>
        </w:tc>
        <w:tc>
          <w:tcPr>
            <w:tcW w:w="62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7,12</w:t>
            </w:r>
          </w:p>
        </w:tc>
        <w:tc>
          <w:tcPr>
            <w:tcW w:w="605"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3,11</w:t>
            </w:r>
          </w:p>
        </w:tc>
        <w:tc>
          <w:tcPr>
            <w:tcW w:w="53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1,29</w:t>
            </w:r>
          </w:p>
        </w:tc>
        <w:tc>
          <w:tcPr>
            <w:tcW w:w="53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-5,8</w:t>
            </w:r>
          </w:p>
        </w:tc>
        <w:tc>
          <w:tcPr>
            <w:tcW w:w="539" w:type="pct"/>
            <w:tcBorders>
              <w:top w:val="nil"/>
              <w:left w:val="nil"/>
              <w:bottom w:val="single" w:sz="8" w:space="0" w:color="auto"/>
              <w:right w:val="single" w:sz="8" w:space="0" w:color="auto"/>
            </w:tcBorders>
            <w:shd w:val="clear" w:color="auto" w:fill="auto"/>
            <w:noWrap/>
            <w:vAlign w:val="center"/>
            <w:hideMark/>
          </w:tcPr>
          <w:p w:rsidR="00B74B55" w:rsidRPr="00F4229A" w:rsidRDefault="00B74B55" w:rsidP="00247FEF">
            <w:pPr>
              <w:jc w:val="center"/>
              <w:rPr>
                <w:bCs/>
              </w:rPr>
            </w:pPr>
            <w:r w:rsidRPr="00F4229A">
              <w:rPr>
                <w:bCs/>
              </w:rPr>
              <w:t>-1,8</w:t>
            </w:r>
          </w:p>
        </w:tc>
      </w:tr>
      <w:tr w:rsidR="00B74B55" w:rsidRPr="00905B6C" w:rsidTr="00247FEF">
        <w:trPr>
          <w:trHeight w:val="315"/>
        </w:trPr>
        <w:tc>
          <w:tcPr>
            <w:tcW w:w="5000" w:type="pct"/>
            <w:gridSpan w:val="6"/>
            <w:tcBorders>
              <w:top w:val="single" w:sz="4" w:space="0" w:color="auto"/>
              <w:left w:val="single" w:sz="8" w:space="0" w:color="auto"/>
              <w:bottom w:val="nil"/>
              <w:right w:val="single" w:sz="8" w:space="0" w:color="000000"/>
            </w:tcBorders>
            <w:shd w:val="clear" w:color="auto" w:fill="auto"/>
            <w:noWrap/>
            <w:vAlign w:val="bottom"/>
            <w:hideMark/>
          </w:tcPr>
          <w:p w:rsidR="00B74B55" w:rsidRPr="00905B6C" w:rsidRDefault="00B74B55" w:rsidP="00247FEF">
            <w:pPr>
              <w:jc w:val="center"/>
              <w:rPr>
                <w:b/>
                <w:bCs/>
                <w:sz w:val="22"/>
                <w:szCs w:val="22"/>
              </w:rPr>
            </w:pPr>
            <w:r w:rsidRPr="00905B6C">
              <w:rPr>
                <w:b/>
                <w:bCs/>
                <w:sz w:val="22"/>
                <w:szCs w:val="22"/>
              </w:rPr>
              <w:t xml:space="preserve">Показатели деловой активности </w:t>
            </w:r>
          </w:p>
        </w:tc>
      </w:tr>
      <w:tr w:rsidR="00B74B55" w:rsidRPr="00905B6C" w:rsidTr="00247FEF">
        <w:trPr>
          <w:trHeight w:val="630"/>
        </w:trPr>
        <w:tc>
          <w:tcPr>
            <w:tcW w:w="2149" w:type="pct"/>
            <w:tcBorders>
              <w:top w:val="single" w:sz="8" w:space="0" w:color="auto"/>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t>Соотношение темпов роста дебиторской и кредиторской задолженности</w:t>
            </w:r>
          </w:p>
        </w:tc>
        <w:tc>
          <w:tcPr>
            <w:tcW w:w="629" w:type="pct"/>
            <w:tcBorders>
              <w:top w:val="single" w:sz="8" w:space="0" w:color="auto"/>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2,31</w:t>
            </w:r>
          </w:p>
        </w:tc>
        <w:tc>
          <w:tcPr>
            <w:tcW w:w="605" w:type="pct"/>
            <w:tcBorders>
              <w:top w:val="single" w:sz="8" w:space="0" w:color="auto"/>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0,82</w:t>
            </w:r>
          </w:p>
        </w:tc>
        <w:tc>
          <w:tcPr>
            <w:tcW w:w="539" w:type="pct"/>
            <w:tcBorders>
              <w:top w:val="single" w:sz="8" w:space="0" w:color="auto"/>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1,07</w:t>
            </w:r>
          </w:p>
        </w:tc>
        <w:tc>
          <w:tcPr>
            <w:tcW w:w="539" w:type="pct"/>
            <w:tcBorders>
              <w:top w:val="single" w:sz="8" w:space="0" w:color="auto"/>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-1,23</w:t>
            </w:r>
          </w:p>
        </w:tc>
        <w:tc>
          <w:tcPr>
            <w:tcW w:w="539" w:type="pct"/>
            <w:tcBorders>
              <w:top w:val="single" w:sz="8" w:space="0" w:color="auto"/>
              <w:left w:val="nil"/>
              <w:bottom w:val="single" w:sz="4" w:space="0" w:color="auto"/>
              <w:right w:val="single" w:sz="8" w:space="0" w:color="auto"/>
            </w:tcBorders>
            <w:shd w:val="clear" w:color="auto" w:fill="auto"/>
            <w:vAlign w:val="center"/>
            <w:hideMark/>
          </w:tcPr>
          <w:p w:rsidR="00B74B55" w:rsidRPr="00F4229A" w:rsidRDefault="00B74B55" w:rsidP="00247FEF">
            <w:pPr>
              <w:jc w:val="center"/>
              <w:rPr>
                <w:bCs/>
              </w:rPr>
            </w:pPr>
            <w:r w:rsidRPr="00F4229A">
              <w:rPr>
                <w:bCs/>
              </w:rPr>
              <w:t>0,26</w:t>
            </w:r>
          </w:p>
        </w:tc>
      </w:tr>
      <w:tr w:rsidR="00B74B55" w:rsidRPr="00905B6C" w:rsidTr="00247FEF">
        <w:trPr>
          <w:trHeight w:val="630"/>
        </w:trPr>
        <w:tc>
          <w:tcPr>
            <w:tcW w:w="2149" w:type="pct"/>
            <w:tcBorders>
              <w:top w:val="nil"/>
              <w:left w:val="single" w:sz="8" w:space="0" w:color="auto"/>
              <w:bottom w:val="single" w:sz="4" w:space="0" w:color="auto"/>
              <w:right w:val="single" w:sz="4" w:space="0" w:color="auto"/>
            </w:tcBorders>
            <w:shd w:val="clear" w:color="auto" w:fill="auto"/>
            <w:vAlign w:val="bottom"/>
            <w:hideMark/>
          </w:tcPr>
          <w:p w:rsidR="00B74B55" w:rsidRPr="00F4229A" w:rsidRDefault="00B74B55" w:rsidP="00247FEF">
            <w:pPr>
              <w:rPr>
                <w:bCs/>
              </w:rPr>
            </w:pPr>
            <w:r w:rsidRPr="00F4229A">
              <w:rPr>
                <w:bCs/>
              </w:rPr>
              <w:t xml:space="preserve">Соотношение совокупной дебиторской и кредиторской задолженности </w:t>
            </w:r>
          </w:p>
        </w:tc>
        <w:tc>
          <w:tcPr>
            <w:tcW w:w="62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0,54</w:t>
            </w:r>
          </w:p>
        </w:tc>
        <w:tc>
          <w:tcPr>
            <w:tcW w:w="605"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0,44</w:t>
            </w:r>
          </w:p>
        </w:tc>
        <w:tc>
          <w:tcPr>
            <w:tcW w:w="539" w:type="pct"/>
            <w:tcBorders>
              <w:top w:val="nil"/>
              <w:left w:val="nil"/>
              <w:bottom w:val="single" w:sz="4"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0,48</w:t>
            </w:r>
          </w:p>
        </w:tc>
        <w:tc>
          <w:tcPr>
            <w:tcW w:w="539" w:type="pct"/>
            <w:tcBorders>
              <w:top w:val="nil"/>
              <w:left w:val="nil"/>
              <w:bottom w:val="single" w:sz="4"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-0,07</w:t>
            </w:r>
          </w:p>
        </w:tc>
        <w:tc>
          <w:tcPr>
            <w:tcW w:w="539" w:type="pct"/>
            <w:tcBorders>
              <w:top w:val="nil"/>
              <w:left w:val="nil"/>
              <w:bottom w:val="single" w:sz="4" w:space="0" w:color="auto"/>
              <w:right w:val="single" w:sz="8" w:space="0" w:color="auto"/>
            </w:tcBorders>
            <w:shd w:val="clear" w:color="auto" w:fill="auto"/>
            <w:vAlign w:val="center"/>
            <w:hideMark/>
          </w:tcPr>
          <w:p w:rsidR="00B74B55" w:rsidRPr="00F4229A" w:rsidRDefault="00B74B55" w:rsidP="00247FEF">
            <w:pPr>
              <w:jc w:val="center"/>
              <w:rPr>
                <w:bCs/>
              </w:rPr>
            </w:pPr>
            <w:r w:rsidRPr="00F4229A">
              <w:rPr>
                <w:bCs/>
              </w:rPr>
              <w:t>0,03</w:t>
            </w:r>
          </w:p>
        </w:tc>
      </w:tr>
      <w:tr w:rsidR="00B74B55" w:rsidRPr="00905B6C" w:rsidTr="00247FEF">
        <w:trPr>
          <w:trHeight w:val="645"/>
        </w:trPr>
        <w:tc>
          <w:tcPr>
            <w:tcW w:w="2149" w:type="pct"/>
            <w:tcBorders>
              <w:top w:val="nil"/>
              <w:left w:val="single" w:sz="8" w:space="0" w:color="auto"/>
              <w:bottom w:val="single" w:sz="8" w:space="0" w:color="auto"/>
              <w:right w:val="single" w:sz="4" w:space="0" w:color="auto"/>
            </w:tcBorders>
            <w:shd w:val="clear" w:color="auto" w:fill="auto"/>
            <w:vAlign w:val="bottom"/>
            <w:hideMark/>
          </w:tcPr>
          <w:p w:rsidR="00B74B55" w:rsidRPr="00F4229A" w:rsidRDefault="00B74B55" w:rsidP="00247FEF">
            <w:pPr>
              <w:rPr>
                <w:bCs/>
              </w:rPr>
            </w:pPr>
            <w:r w:rsidRPr="00F4229A">
              <w:rPr>
                <w:bCs/>
              </w:rPr>
              <w:t xml:space="preserve">Соотношение наиболее ликвидной дебиторской и кредиторской задолженности </w:t>
            </w:r>
          </w:p>
        </w:tc>
        <w:tc>
          <w:tcPr>
            <w:tcW w:w="62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0,51</w:t>
            </w:r>
          </w:p>
        </w:tc>
        <w:tc>
          <w:tcPr>
            <w:tcW w:w="605"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0,59</w:t>
            </w:r>
          </w:p>
        </w:tc>
        <w:tc>
          <w:tcPr>
            <w:tcW w:w="539" w:type="pct"/>
            <w:tcBorders>
              <w:top w:val="nil"/>
              <w:left w:val="nil"/>
              <w:bottom w:val="single" w:sz="8" w:space="0" w:color="auto"/>
              <w:right w:val="single" w:sz="4" w:space="0" w:color="auto"/>
            </w:tcBorders>
            <w:shd w:val="clear" w:color="auto" w:fill="auto"/>
            <w:noWrap/>
            <w:vAlign w:val="center"/>
            <w:hideMark/>
          </w:tcPr>
          <w:p w:rsidR="00B74B55" w:rsidRPr="00F4229A" w:rsidRDefault="00B74B55" w:rsidP="00247FEF">
            <w:pPr>
              <w:jc w:val="center"/>
              <w:rPr>
                <w:bCs/>
              </w:rPr>
            </w:pPr>
            <w:r w:rsidRPr="00F4229A">
              <w:rPr>
                <w:bCs/>
              </w:rPr>
              <w:t>0,56</w:t>
            </w:r>
          </w:p>
        </w:tc>
        <w:tc>
          <w:tcPr>
            <w:tcW w:w="539" w:type="pct"/>
            <w:tcBorders>
              <w:top w:val="nil"/>
              <w:left w:val="nil"/>
              <w:bottom w:val="single" w:sz="8" w:space="0" w:color="auto"/>
              <w:right w:val="single" w:sz="4" w:space="0" w:color="auto"/>
            </w:tcBorders>
            <w:shd w:val="clear" w:color="auto" w:fill="auto"/>
            <w:vAlign w:val="center"/>
            <w:hideMark/>
          </w:tcPr>
          <w:p w:rsidR="00B74B55" w:rsidRPr="00F4229A" w:rsidRDefault="00B74B55" w:rsidP="00247FEF">
            <w:pPr>
              <w:jc w:val="center"/>
              <w:rPr>
                <w:bCs/>
              </w:rPr>
            </w:pPr>
            <w:r w:rsidRPr="00F4229A">
              <w:rPr>
                <w:bCs/>
              </w:rPr>
              <w:t>0,04</w:t>
            </w:r>
          </w:p>
        </w:tc>
        <w:tc>
          <w:tcPr>
            <w:tcW w:w="539" w:type="pct"/>
            <w:tcBorders>
              <w:top w:val="nil"/>
              <w:left w:val="nil"/>
              <w:bottom w:val="single" w:sz="8" w:space="0" w:color="auto"/>
              <w:right w:val="single" w:sz="8" w:space="0" w:color="auto"/>
            </w:tcBorders>
            <w:shd w:val="clear" w:color="auto" w:fill="auto"/>
            <w:vAlign w:val="center"/>
            <w:hideMark/>
          </w:tcPr>
          <w:p w:rsidR="00B74B55" w:rsidRPr="00F4229A" w:rsidRDefault="00B74B55" w:rsidP="00247FEF">
            <w:pPr>
              <w:jc w:val="center"/>
              <w:rPr>
                <w:bCs/>
              </w:rPr>
            </w:pPr>
            <w:r w:rsidRPr="00F4229A">
              <w:rPr>
                <w:bCs/>
              </w:rPr>
              <w:t>-0,03</w:t>
            </w:r>
          </w:p>
        </w:tc>
      </w:tr>
    </w:tbl>
    <w:p w:rsidR="00B74B55" w:rsidRDefault="00B74B55" w:rsidP="00B74B55">
      <w:pPr>
        <w:ind w:left="360"/>
        <w:jc w:val="center"/>
        <w:rPr>
          <w:b/>
        </w:rPr>
      </w:pPr>
    </w:p>
    <w:p w:rsidR="00B74B55" w:rsidRPr="00082D6C" w:rsidRDefault="00B74B55" w:rsidP="00B74B55">
      <w:pPr>
        <w:rPr>
          <w:b/>
          <w:sz w:val="14"/>
        </w:rPr>
      </w:pPr>
    </w:p>
    <w:p w:rsidR="00B74B55" w:rsidRDefault="00B74B55" w:rsidP="00B74B55">
      <w:pPr>
        <w:suppressAutoHyphens/>
        <w:spacing w:after="200"/>
        <w:ind w:firstLine="709"/>
        <w:contextualSpacing/>
        <w:jc w:val="both"/>
      </w:pPr>
      <w:r w:rsidRPr="00082D6C">
        <w:t>Показатели ликвидности за 2014 г</w:t>
      </w:r>
      <w:r>
        <w:t>од имеют положительную динамику, которая обусловлена существенным увеличением баланса денежных средств и их эквивалентов по состоянию на конец отчетного периода (рост составил 85,7%, в то время как суммарный рост текущих активов Общества составил 55,9%).</w:t>
      </w:r>
      <w:r w:rsidRPr="0033519D">
        <w:t xml:space="preserve"> </w:t>
      </w:r>
    </w:p>
    <w:p w:rsidR="00B74B55" w:rsidRPr="00082D6C" w:rsidRDefault="00B74B55" w:rsidP="00B74B55">
      <w:pPr>
        <w:suppressAutoHyphens/>
        <w:spacing w:before="240"/>
        <w:ind w:firstLine="708"/>
        <w:jc w:val="both"/>
      </w:pPr>
      <w:r>
        <w:t>К</w:t>
      </w:r>
      <w:r w:rsidRPr="00082D6C">
        <w:t>оэффициент абсолю</w:t>
      </w:r>
      <w:r>
        <w:t>тной ликвидности показывает</w:t>
      </w:r>
      <w:r w:rsidRPr="00082D6C">
        <w:t>, ка</w:t>
      </w:r>
      <w:r>
        <w:t xml:space="preserve">кая доля краткосрочных </w:t>
      </w:r>
      <w:r w:rsidRPr="00082D6C">
        <w:t>обязательств может быть покрыта за счет денежных средств и их эквивалентов</w:t>
      </w:r>
      <w:r>
        <w:t>, а также краткосрочных финансовых вложений.</w:t>
      </w:r>
      <w:r w:rsidRPr="00082D6C">
        <w:t xml:space="preserve"> </w:t>
      </w:r>
      <w:r>
        <w:t>По итогам деятельности Общества за год данный показатель вырос с 0,15 до 0,23.</w:t>
      </w:r>
    </w:p>
    <w:p w:rsidR="00B74B55" w:rsidRPr="00082D6C" w:rsidRDefault="00B74B55" w:rsidP="00B74B55">
      <w:pPr>
        <w:suppressAutoHyphens/>
        <w:ind w:firstLine="708"/>
        <w:jc w:val="both"/>
      </w:pPr>
      <w:r w:rsidRPr="00082D6C">
        <w:t>Коэффициент срочной ликвидности, показывающий</w:t>
      </w:r>
      <w:r>
        <w:t>,</w:t>
      </w:r>
      <w:r w:rsidRPr="00082D6C">
        <w:t xml:space="preserve"> какая часть краткосрочных обязательств может быть покрыта за счет наиболее ликвидных активов Общества, составил 0,64. </w:t>
      </w:r>
    </w:p>
    <w:p w:rsidR="00B74B55" w:rsidRDefault="00B74B55" w:rsidP="00B74B55">
      <w:pPr>
        <w:suppressAutoHyphens/>
        <w:spacing w:after="200"/>
        <w:ind w:firstLine="709"/>
        <w:contextualSpacing/>
        <w:jc w:val="both"/>
      </w:pPr>
      <w:r w:rsidRPr="00082D6C">
        <w:t xml:space="preserve">Коэффициент текущей ликвидности </w:t>
      </w:r>
      <w:r>
        <w:t>определяет,</w:t>
      </w:r>
      <w:r w:rsidRPr="00082D6C">
        <w:t xml:space="preserve"> в какой </w:t>
      </w:r>
      <w:r>
        <w:t>части</w:t>
      </w:r>
      <w:r w:rsidRPr="00082D6C">
        <w:t xml:space="preserve"> текущие обязательства обеспечиваются оборотными активами</w:t>
      </w:r>
      <w:r>
        <w:t>.</w:t>
      </w:r>
      <w:r w:rsidRPr="00082D6C">
        <w:t xml:space="preserve"> </w:t>
      </w:r>
      <w:r>
        <w:t xml:space="preserve">Значение коэффициента </w:t>
      </w:r>
      <w:r w:rsidRPr="00082D6C">
        <w:t xml:space="preserve">также </w:t>
      </w:r>
      <w:r>
        <w:t>увеличилось в 2014 году</w:t>
      </w:r>
      <w:r w:rsidRPr="00082D6C">
        <w:t xml:space="preserve"> и составил</w:t>
      </w:r>
      <w:r>
        <w:t>о</w:t>
      </w:r>
      <w:r w:rsidRPr="00082D6C">
        <w:t xml:space="preserve"> 0,68. </w:t>
      </w:r>
    </w:p>
    <w:p w:rsidR="00B74B55" w:rsidRPr="00082D6C" w:rsidRDefault="00B74B55" w:rsidP="00B74B55">
      <w:pPr>
        <w:suppressAutoHyphens/>
        <w:spacing w:after="200"/>
        <w:ind w:firstLine="709"/>
        <w:contextualSpacing/>
        <w:jc w:val="both"/>
      </w:pPr>
      <w:r w:rsidRPr="00082D6C">
        <w:t xml:space="preserve">Коэффициент обеспеченности собственными оборотными активами имеет отрицательное значение -0,46, но </w:t>
      </w:r>
      <w:r>
        <w:t>при этом показывает положительную динамику</w:t>
      </w:r>
      <w:r w:rsidRPr="00082D6C">
        <w:t xml:space="preserve"> </w:t>
      </w:r>
      <w:r>
        <w:t>Данный показатель определяет, какую часть чистых оборотных активов Общество финансирует за счет собственных средств. Отрицательное значение показателя свидетельствует о том, что величина краткосрочных обязательств превышает размер оборотных средств Общества.</w:t>
      </w:r>
    </w:p>
    <w:p w:rsidR="00B74B55" w:rsidRDefault="00B74B55" w:rsidP="00B74B55">
      <w:pPr>
        <w:suppressAutoHyphens/>
        <w:ind w:firstLine="708"/>
        <w:contextualSpacing/>
        <w:jc w:val="both"/>
      </w:pPr>
      <w:r w:rsidRPr="00082D6C">
        <w:t>Коэффициент автономии имеет отрицательное значение, что связано с отрицательным значением собственного капитала, однако</w:t>
      </w:r>
      <w:r>
        <w:t>,</w:t>
      </w:r>
      <w:r w:rsidRPr="00082D6C">
        <w:t xml:space="preserve"> необходимо отметить положительную тенденцию, связанную с получением чистой прибыли по итогам последних трех лет.</w:t>
      </w:r>
    </w:p>
    <w:p w:rsidR="00B74B55" w:rsidRPr="00B05D65" w:rsidRDefault="00B74B55" w:rsidP="00B74B55">
      <w:pPr>
        <w:suppressAutoHyphens/>
        <w:ind w:firstLine="708"/>
        <w:contextualSpacing/>
        <w:jc w:val="both"/>
        <w:rPr>
          <w:bCs/>
          <w:iCs/>
        </w:rPr>
      </w:pPr>
      <w:r>
        <w:t xml:space="preserve">Показатель отношения совокупного долга к </w:t>
      </w:r>
      <w:r>
        <w:rPr>
          <w:lang w:val="en-US"/>
        </w:rPr>
        <w:t>EBITDA</w:t>
      </w:r>
      <w:r w:rsidRPr="00FA1057">
        <w:t xml:space="preserve"> </w:t>
      </w:r>
      <w:r>
        <w:t>является показателем долговой нагрузки и характеризует способность Общества погашать задолженность перед кредиторами за счет операционного денежного потока. Значение показателя</w:t>
      </w:r>
      <w:r w:rsidRPr="00082D6C">
        <w:rPr>
          <w:bCs/>
          <w:iCs/>
        </w:rPr>
        <w:t xml:space="preserve"> по итогам 2014 года составило 1,0</w:t>
      </w:r>
      <w:r>
        <w:rPr>
          <w:bCs/>
          <w:iCs/>
        </w:rPr>
        <w:t>3.</w:t>
      </w:r>
    </w:p>
    <w:p w:rsidR="00B74B55" w:rsidRPr="00CF2188" w:rsidRDefault="00B74B55" w:rsidP="00B74B55">
      <w:pPr>
        <w:suppressAutoHyphens/>
        <w:ind w:firstLine="708"/>
        <w:contextualSpacing/>
        <w:jc w:val="both"/>
      </w:pPr>
      <w:r>
        <w:t xml:space="preserve">Показатели рентабельности характеризуют эффективность работы Общества. Рентабельность продаж по </w:t>
      </w:r>
      <w:r>
        <w:rPr>
          <w:lang w:val="en-US"/>
        </w:rPr>
        <w:t>EBITDA</w:t>
      </w:r>
      <w:r w:rsidRPr="00FA1057">
        <w:t xml:space="preserve"> </w:t>
      </w:r>
      <w:r>
        <w:t>показывают операционную эффективность, рентабельность собственного капитала и рентабельность активов - эффективность использования активов и собственного капитала Компании.</w:t>
      </w:r>
    </w:p>
    <w:p w:rsidR="00B74B55" w:rsidRPr="00082D6C" w:rsidRDefault="00B74B55" w:rsidP="00B74B55">
      <w:pPr>
        <w:suppressAutoHyphens/>
        <w:ind w:firstLine="708"/>
        <w:contextualSpacing/>
        <w:jc w:val="both"/>
      </w:pPr>
      <w:r w:rsidRPr="00082D6C">
        <w:t>Анализ динамики показателей рентабельности показывают, что рентабельность активов по прибыли до налогообложения в 2014 году по сравнению с 2013 годом снизилась и составила 10,2 %.</w:t>
      </w:r>
    </w:p>
    <w:p w:rsidR="00B74B55" w:rsidRPr="00082D6C" w:rsidRDefault="00B74B55" w:rsidP="00B74B55">
      <w:pPr>
        <w:suppressAutoHyphens/>
        <w:ind w:firstLine="708"/>
        <w:contextualSpacing/>
        <w:jc w:val="both"/>
      </w:pPr>
      <w:r>
        <w:lastRenderedPageBreak/>
        <w:t xml:space="preserve">Показатели деловой активности показывают превышение темпа роста дебиторской задолженности над темпом роста кредиторской задолженности, что также отразилось в показателе соотношения совокупной дебиторской и кредиторской задолженности. </w:t>
      </w:r>
    </w:p>
    <w:p w:rsidR="00434CEB" w:rsidRPr="00AF026E" w:rsidRDefault="00434CEB" w:rsidP="00152CAF">
      <w:pPr>
        <w:keepNext/>
        <w:contextualSpacing/>
        <w:jc w:val="center"/>
        <w:outlineLvl w:val="0"/>
        <w:rPr>
          <w:b/>
          <w:szCs w:val="28"/>
        </w:rPr>
      </w:pPr>
    </w:p>
    <w:p w:rsidR="00AF026E" w:rsidRPr="00AF026E" w:rsidRDefault="00AF026E" w:rsidP="00152CAF">
      <w:pPr>
        <w:tabs>
          <w:tab w:val="left" w:pos="924"/>
        </w:tabs>
        <w:suppressAutoHyphens/>
        <w:snapToGrid w:val="0"/>
        <w:contextualSpacing/>
        <w:jc w:val="center"/>
        <w:rPr>
          <w:b/>
          <w:sz w:val="28"/>
          <w:lang w:eastAsia="ar-SA"/>
        </w:rPr>
      </w:pPr>
      <w:r w:rsidRPr="00AF38DC">
        <w:rPr>
          <w:b/>
          <w:lang w:eastAsia="ar-SA"/>
        </w:rPr>
        <w:t>2.</w:t>
      </w:r>
      <w:r w:rsidR="00AF38DC" w:rsidRPr="00AF38DC">
        <w:rPr>
          <w:b/>
          <w:lang w:eastAsia="ar-SA"/>
        </w:rPr>
        <w:t>4</w:t>
      </w:r>
      <w:r w:rsidRPr="00AF38DC">
        <w:rPr>
          <w:b/>
          <w:lang w:eastAsia="ar-SA"/>
        </w:rPr>
        <w:t>.  Тарифная политика</w:t>
      </w:r>
    </w:p>
    <w:p w:rsidR="00AF026E" w:rsidRPr="00AF026E" w:rsidRDefault="00AF026E" w:rsidP="00152CAF">
      <w:pPr>
        <w:widowControl w:val="0"/>
        <w:autoSpaceDE w:val="0"/>
        <w:autoSpaceDN w:val="0"/>
        <w:adjustRightInd w:val="0"/>
        <w:contextualSpacing/>
        <w:jc w:val="both"/>
        <w:rPr>
          <w:rFonts w:eastAsia="Calibri"/>
          <w:b/>
          <w:lang w:eastAsia="en-US"/>
        </w:rPr>
      </w:pPr>
    </w:p>
    <w:p w:rsidR="00AF026E" w:rsidRPr="00AF026E" w:rsidRDefault="00AF026E" w:rsidP="00152CAF">
      <w:pPr>
        <w:autoSpaceDE w:val="0"/>
        <w:autoSpaceDN w:val="0"/>
        <w:adjustRightInd w:val="0"/>
        <w:spacing w:line="276" w:lineRule="auto"/>
        <w:contextualSpacing/>
        <w:jc w:val="center"/>
        <w:outlineLvl w:val="2"/>
        <w:rPr>
          <w:rFonts w:eastAsia="Calibri"/>
          <w:b/>
          <w:bCs/>
          <w:lang w:eastAsia="en-US"/>
        </w:rPr>
      </w:pPr>
      <w:r w:rsidRPr="00AF026E">
        <w:rPr>
          <w:rFonts w:eastAsia="Calibri"/>
          <w:b/>
          <w:bCs/>
          <w:lang w:eastAsia="en-US"/>
        </w:rPr>
        <w:t>2.</w:t>
      </w:r>
      <w:r w:rsidR="00AF38DC">
        <w:rPr>
          <w:rFonts w:eastAsia="Calibri"/>
          <w:b/>
          <w:bCs/>
          <w:lang w:eastAsia="en-US"/>
        </w:rPr>
        <w:t>4</w:t>
      </w:r>
      <w:r w:rsidRPr="00AF026E">
        <w:rPr>
          <w:rFonts w:eastAsia="Calibri"/>
          <w:b/>
          <w:bCs/>
          <w:lang w:eastAsia="en-US"/>
        </w:rPr>
        <w:t>.1. Общие сведения</w:t>
      </w:r>
    </w:p>
    <w:p w:rsidR="00AF026E" w:rsidRPr="00AF026E" w:rsidRDefault="00AF026E" w:rsidP="00152CAF">
      <w:pPr>
        <w:autoSpaceDE w:val="0"/>
        <w:autoSpaceDN w:val="0"/>
        <w:adjustRightInd w:val="0"/>
        <w:spacing w:line="276" w:lineRule="auto"/>
        <w:contextualSpacing/>
        <w:jc w:val="center"/>
        <w:outlineLvl w:val="2"/>
        <w:rPr>
          <w:rFonts w:eastAsia="Calibri"/>
          <w:bCs/>
          <w:lang w:eastAsia="en-US"/>
        </w:rPr>
      </w:pPr>
    </w:p>
    <w:p w:rsidR="00AF026E" w:rsidRPr="00AF026E" w:rsidRDefault="00AF026E" w:rsidP="00152CAF">
      <w:pPr>
        <w:autoSpaceDE w:val="0"/>
        <w:autoSpaceDN w:val="0"/>
        <w:adjustRightInd w:val="0"/>
        <w:ind w:firstLine="709"/>
        <w:contextualSpacing/>
        <w:jc w:val="both"/>
        <w:outlineLvl w:val="2"/>
        <w:rPr>
          <w:rFonts w:eastAsia="Calibri"/>
          <w:bCs/>
          <w:lang w:eastAsia="en-US"/>
        </w:rPr>
      </w:pPr>
      <w:r w:rsidRPr="00AF026E">
        <w:rPr>
          <w:rFonts w:eastAsia="Calibri"/>
          <w:bCs/>
          <w:lang w:eastAsia="en-US"/>
        </w:rPr>
        <w:t>В соответствии с п. 3 статьи 23.1 Федерального закона от 26.03.2003 N 35-ФЗ "Об электроэнергетике" сбытовые надбавки гарантирующих поставщиков электрической энергии подлежат государственному регулированию. Основные принципы и порядок установления сбытовых надбавок определены в Основах ценообразования в области регулируемых цен (тарифов) в электроэнергетике, а также в Правилах государственного регулирования (пересмотра, применения) цен (тарифов) в электроэнергетике, утвержденных постановлением Правительства РФ от 29.12.2011 N 1178. Величина сбытовой надбавки гарантирующего поставщика устанавливается в соответствии с методическими указаниями, утвержденными приказом Федеральной службы по тарифам от 30.10.2012 N 703-э "Об утверждении Методических указаний по расчету сбытовых надбавок гарантирующих поставщиков и размера доходности продаж гарантирующих поставщиков" (далее Методические указания).</w:t>
      </w:r>
    </w:p>
    <w:p w:rsidR="00AF026E" w:rsidRPr="00AF026E" w:rsidRDefault="00AF026E" w:rsidP="00152CAF">
      <w:pPr>
        <w:autoSpaceDE w:val="0"/>
        <w:autoSpaceDN w:val="0"/>
        <w:adjustRightInd w:val="0"/>
        <w:spacing w:line="276" w:lineRule="auto"/>
        <w:ind w:firstLine="709"/>
        <w:contextualSpacing/>
        <w:jc w:val="both"/>
        <w:outlineLvl w:val="2"/>
        <w:rPr>
          <w:rFonts w:eastAsia="Calibri"/>
          <w:bCs/>
          <w:lang w:eastAsia="en-US"/>
        </w:rPr>
      </w:pPr>
    </w:p>
    <w:p w:rsidR="00AF026E" w:rsidRPr="00AF026E" w:rsidRDefault="00AF026E" w:rsidP="00152CAF">
      <w:pPr>
        <w:autoSpaceDE w:val="0"/>
        <w:autoSpaceDN w:val="0"/>
        <w:adjustRightInd w:val="0"/>
        <w:spacing w:after="200" w:line="276" w:lineRule="auto"/>
        <w:ind w:hanging="27"/>
        <w:contextualSpacing/>
        <w:jc w:val="center"/>
        <w:outlineLvl w:val="2"/>
        <w:rPr>
          <w:rFonts w:eastAsia="Calibri"/>
          <w:b/>
          <w:bCs/>
          <w:lang w:eastAsia="en-US"/>
        </w:rPr>
      </w:pPr>
      <w:r w:rsidRPr="00AF026E">
        <w:rPr>
          <w:rFonts w:eastAsia="Calibri"/>
          <w:b/>
          <w:bCs/>
          <w:lang w:eastAsia="en-US"/>
        </w:rPr>
        <w:t>2.</w:t>
      </w:r>
      <w:r w:rsidR="00AE1F4D">
        <w:rPr>
          <w:rFonts w:eastAsia="Calibri"/>
          <w:b/>
          <w:bCs/>
          <w:lang w:eastAsia="en-US"/>
        </w:rPr>
        <w:t>4</w:t>
      </w:r>
      <w:r w:rsidRPr="00AF026E">
        <w:rPr>
          <w:rFonts w:eastAsia="Calibri"/>
          <w:b/>
          <w:bCs/>
          <w:lang w:eastAsia="en-US"/>
        </w:rPr>
        <w:t xml:space="preserve">.2. Сбытовые надбавки и доходность продаж гарантирующего поставщика </w:t>
      </w:r>
    </w:p>
    <w:p w:rsidR="00152CAF" w:rsidRDefault="00152CAF" w:rsidP="00152CAF">
      <w:pPr>
        <w:ind w:firstLine="709"/>
        <w:contextualSpacing/>
        <w:jc w:val="both"/>
        <w:rPr>
          <w:rFonts w:eastAsia="Calibri"/>
          <w:lang w:eastAsia="en-US"/>
        </w:rPr>
      </w:pPr>
    </w:p>
    <w:p w:rsidR="00AF026E" w:rsidRPr="00AF026E" w:rsidRDefault="00AF026E" w:rsidP="00AF026E">
      <w:pPr>
        <w:ind w:firstLine="709"/>
        <w:jc w:val="both"/>
        <w:rPr>
          <w:rFonts w:eastAsia="Calibri"/>
          <w:lang w:eastAsia="en-US"/>
        </w:rPr>
      </w:pPr>
      <w:r w:rsidRPr="00AF026E">
        <w:rPr>
          <w:rFonts w:eastAsia="Calibri"/>
          <w:lang w:eastAsia="en-US"/>
        </w:rPr>
        <w:t>При расчете сбытовой надбавки гарантирующего поставщика учитываются экономически обоснованные расходы организации, связанные с обеспечением ее предпринимательской деятельности в качестве гарантирующего поставщика в соответствующей зоне ответственности. Величина сбытовой надбавки гарантирующего поставщика дифференцируется по группам потребителей.</w:t>
      </w:r>
    </w:p>
    <w:p w:rsidR="00AF026E" w:rsidRPr="00AF026E" w:rsidRDefault="00AF026E" w:rsidP="00AF026E">
      <w:pPr>
        <w:ind w:firstLine="709"/>
        <w:jc w:val="both"/>
        <w:rPr>
          <w:rFonts w:eastAsia="Calibri"/>
          <w:lang w:eastAsia="en-US"/>
        </w:rPr>
      </w:pPr>
      <w:r w:rsidRPr="00AF026E">
        <w:rPr>
          <w:rFonts w:eastAsia="Calibri"/>
          <w:lang w:eastAsia="en-US"/>
        </w:rPr>
        <w:t>Начиная с 2013 года в соответствии с Методическими указаниями по расчету сбытовых надбавок гарантирующих поставщиков и размера доходности продаж гарантирующих поставщиков, утвержденными приказом ФСТ России от 30.10.2012 N 703-э сбытовые надбавки устанавливаются для следующих групп (подгрупп) потребителей:</w:t>
      </w:r>
    </w:p>
    <w:p w:rsidR="00AF026E" w:rsidRPr="00AF026E" w:rsidRDefault="00AF026E" w:rsidP="00AF026E">
      <w:pPr>
        <w:ind w:firstLine="709"/>
        <w:jc w:val="both"/>
        <w:rPr>
          <w:rFonts w:eastAsia="Calibri"/>
          <w:lang w:eastAsia="en-US"/>
        </w:rPr>
      </w:pPr>
      <w:r w:rsidRPr="00AF026E">
        <w:rPr>
          <w:rFonts w:eastAsia="Calibri"/>
          <w:lang w:eastAsia="en-US"/>
        </w:rPr>
        <w:t>население и приравненные к нему категории потребителей;</w:t>
      </w:r>
    </w:p>
    <w:p w:rsidR="00AF026E" w:rsidRPr="00AF026E" w:rsidRDefault="00AF026E" w:rsidP="00AF026E">
      <w:pPr>
        <w:ind w:firstLine="709"/>
        <w:jc w:val="both"/>
        <w:rPr>
          <w:rFonts w:eastAsia="Calibri"/>
          <w:lang w:eastAsia="en-US"/>
        </w:rPr>
      </w:pPr>
      <w:r w:rsidRPr="00AF026E">
        <w:rPr>
          <w:rFonts w:eastAsia="Calibri"/>
          <w:lang w:eastAsia="en-US"/>
        </w:rPr>
        <w:t>сетевые организации, покупающие электрическую энергию для компенсации потерь электрической энергии;</w:t>
      </w:r>
    </w:p>
    <w:p w:rsidR="00AF026E" w:rsidRPr="00AF026E" w:rsidRDefault="00AF026E" w:rsidP="00AF026E">
      <w:pPr>
        <w:ind w:firstLine="709"/>
        <w:jc w:val="both"/>
        <w:rPr>
          <w:rFonts w:eastAsia="Calibri"/>
          <w:lang w:eastAsia="en-US"/>
        </w:rPr>
      </w:pPr>
      <w:r w:rsidRPr="00AF026E">
        <w:rPr>
          <w:rFonts w:eastAsia="Calibri"/>
          <w:lang w:eastAsia="en-US"/>
        </w:rPr>
        <w:t>прочие потребители, дифференцированно по подгруппам в зависимости от величины максимальной мощности принадлежащих им энергопринимающих устройств (менее 150 кВт, от 150 до 670 кВт, от 670 кВт до 10 МВт, не менее 10 МВт).</w:t>
      </w:r>
    </w:p>
    <w:p w:rsidR="00AF026E" w:rsidRPr="00AF026E" w:rsidRDefault="00AF026E" w:rsidP="00AF026E">
      <w:pPr>
        <w:ind w:firstLine="709"/>
        <w:jc w:val="both"/>
        <w:rPr>
          <w:rFonts w:eastAsia="Calibri"/>
          <w:lang w:eastAsia="en-US"/>
        </w:rPr>
      </w:pPr>
      <w:r w:rsidRPr="00AF026E">
        <w:rPr>
          <w:rFonts w:eastAsia="Calibri"/>
          <w:lang w:eastAsia="en-US"/>
        </w:rPr>
        <w:t>Особенностью Методических указаний по расчету сбытовых надбавок гарантирующих поставщиков и размера доходности продаж гарантирующих поставщиков является то, что сбытовые надбавки в отношении прочих потребителей устанавливаются органами государственного регулирования в виде формулы, как процент от цен на электрическую энергию и (или) мощность. При этом под ценами на электрическую энергию и (или) мощность понимаются составляющие предельных уровней нерегулируемых цен для ценовой категории, к которой относится потребитель. Сбытовые надбавки применяются к тем же объемам, что и указанные выше составляющие предельных уровней нерегулируемых цен.</w:t>
      </w:r>
    </w:p>
    <w:p w:rsidR="00AF026E" w:rsidRPr="00AF026E" w:rsidRDefault="00AF026E" w:rsidP="00AF026E">
      <w:pPr>
        <w:ind w:firstLine="709"/>
        <w:jc w:val="both"/>
        <w:rPr>
          <w:rFonts w:eastAsia="Calibri"/>
          <w:lang w:eastAsia="en-US"/>
        </w:rPr>
      </w:pPr>
      <w:r w:rsidRPr="00AF026E">
        <w:rPr>
          <w:rFonts w:eastAsia="Calibri"/>
          <w:lang w:eastAsia="en-US"/>
        </w:rPr>
        <w:t>Доходность продаж устанавливается в зависимости от территориальных, зональных и иных параметров деятельности гарантирующих поставщиков, к которым относятся:</w:t>
      </w:r>
    </w:p>
    <w:p w:rsidR="00AF026E" w:rsidRPr="00AF026E" w:rsidRDefault="00AF026E" w:rsidP="00AF026E">
      <w:pPr>
        <w:ind w:firstLine="709"/>
        <w:jc w:val="both"/>
        <w:rPr>
          <w:rFonts w:eastAsia="Calibri"/>
          <w:lang w:eastAsia="en-US"/>
        </w:rPr>
      </w:pPr>
      <w:r w:rsidRPr="00AF026E">
        <w:rPr>
          <w:rFonts w:eastAsia="Calibri"/>
          <w:lang w:eastAsia="en-US"/>
        </w:rPr>
        <w:t>объем электрической энергии, поставляемой гарантирующим поставщиком потребителям и сетевым организациям;</w:t>
      </w:r>
    </w:p>
    <w:p w:rsidR="00AF026E" w:rsidRPr="00AF026E" w:rsidRDefault="00AF026E" w:rsidP="00AF026E">
      <w:pPr>
        <w:ind w:firstLine="709"/>
        <w:jc w:val="both"/>
        <w:rPr>
          <w:rFonts w:eastAsia="Calibri"/>
          <w:lang w:eastAsia="en-US"/>
        </w:rPr>
      </w:pPr>
      <w:r w:rsidRPr="00AF026E">
        <w:rPr>
          <w:rFonts w:eastAsia="Calibri"/>
          <w:lang w:eastAsia="en-US"/>
        </w:rPr>
        <w:lastRenderedPageBreak/>
        <w:t>доля потребления населением в общем объеме потребления;</w:t>
      </w:r>
    </w:p>
    <w:p w:rsidR="00AF026E" w:rsidRPr="00AF026E" w:rsidRDefault="00AF026E" w:rsidP="00AF026E">
      <w:pPr>
        <w:ind w:firstLine="709"/>
        <w:jc w:val="both"/>
        <w:rPr>
          <w:rFonts w:eastAsia="Calibri"/>
          <w:lang w:eastAsia="en-US"/>
        </w:rPr>
      </w:pPr>
      <w:r w:rsidRPr="00AF026E">
        <w:rPr>
          <w:rFonts w:eastAsia="Calibri"/>
          <w:lang w:eastAsia="en-US"/>
        </w:rPr>
        <w:t>территориальные особенности зоны деятельности гарантирующего поставщика.</w:t>
      </w:r>
    </w:p>
    <w:p w:rsidR="00AF026E" w:rsidRPr="00AF026E" w:rsidRDefault="00AF026E" w:rsidP="00AF026E">
      <w:pPr>
        <w:ind w:firstLine="709"/>
        <w:jc w:val="both"/>
        <w:rPr>
          <w:rFonts w:eastAsia="Calibri"/>
          <w:lang w:eastAsia="en-US"/>
        </w:rPr>
      </w:pPr>
      <w:r w:rsidRPr="00AF026E">
        <w:rPr>
          <w:rFonts w:eastAsia="Calibri"/>
          <w:lang w:eastAsia="en-US"/>
        </w:rPr>
        <w:t xml:space="preserve"> В отношении сетевых организаций сбытовые надбавки устанавливаются в рублях за единицу электрической энергии и (или) мощности исходя из средневзвешенной доходности продаж и прогнозируемой стоимости 1 киловатт-часа электрической энергии и мощности, которые приобретаются на оптовом и розничном рынках в целях компенсации потерь.</w:t>
      </w:r>
    </w:p>
    <w:p w:rsidR="00AF026E" w:rsidRPr="00AF026E" w:rsidRDefault="00AF026E" w:rsidP="00AF026E">
      <w:pPr>
        <w:ind w:firstLine="709"/>
        <w:jc w:val="both"/>
        <w:rPr>
          <w:rFonts w:eastAsia="Calibri"/>
          <w:lang w:eastAsia="en-US"/>
        </w:rPr>
      </w:pPr>
      <w:r w:rsidRPr="00AF026E">
        <w:rPr>
          <w:rFonts w:eastAsia="Calibri"/>
          <w:lang w:eastAsia="en-US"/>
        </w:rPr>
        <w:t>Помимо прочих экономически обоснованных расходов в состав необходимой валовой выручки гарантирующего поставщика согласно Методическим указаниям включаются следующие экономически обоснованные расходы:</w:t>
      </w:r>
    </w:p>
    <w:p w:rsidR="00AF026E" w:rsidRPr="00AF026E" w:rsidRDefault="00AF026E" w:rsidP="00AF026E">
      <w:pPr>
        <w:ind w:firstLine="709"/>
        <w:jc w:val="both"/>
        <w:rPr>
          <w:rFonts w:eastAsia="Calibri"/>
          <w:lang w:eastAsia="en-US"/>
        </w:rPr>
      </w:pPr>
      <w:r w:rsidRPr="00AF026E">
        <w:rPr>
          <w:rFonts w:eastAsia="Calibri"/>
          <w:lang w:eastAsia="en-US"/>
        </w:rPr>
        <w:t>расходы на обеспечение соблюдения стандартов по качеству обслуживания потребителей электрической энергии, соответствующих требованиям, установленным Основными положениями функционирования розничных рынков электрической энергии, в том числе расходы на создание центров очного и заочного обслуживания потребителей, ведение баз данных потребителей, обеспечение различных способов внесения платы;</w:t>
      </w:r>
    </w:p>
    <w:p w:rsidR="00AF026E" w:rsidRPr="00AF026E" w:rsidRDefault="00AF026E" w:rsidP="00AF026E">
      <w:pPr>
        <w:ind w:firstLine="709"/>
        <w:jc w:val="both"/>
        <w:rPr>
          <w:rFonts w:eastAsia="Calibri"/>
          <w:lang w:eastAsia="en-US"/>
        </w:rPr>
      </w:pPr>
      <w:r w:rsidRPr="00AF026E">
        <w:rPr>
          <w:rFonts w:eastAsia="Calibri"/>
          <w:lang w:eastAsia="en-US"/>
        </w:rPr>
        <w:t>расходы гарантирующего поставщика, связанные с организацией принятия им на обслуживание покупателей электрической энергии;</w:t>
      </w:r>
    </w:p>
    <w:p w:rsidR="00AF026E" w:rsidRPr="00AF026E" w:rsidRDefault="00AF026E" w:rsidP="00AF026E">
      <w:pPr>
        <w:ind w:firstLine="709"/>
        <w:jc w:val="both"/>
        <w:rPr>
          <w:rFonts w:eastAsia="Calibri"/>
          <w:lang w:eastAsia="en-US"/>
        </w:rPr>
      </w:pPr>
      <w:r w:rsidRPr="00AF026E">
        <w:rPr>
          <w:rFonts w:eastAsia="Calibri"/>
          <w:lang w:eastAsia="en-US"/>
        </w:rPr>
        <w:t>расходы на обслуживание кредитов, необходимых для поддержания достаточного размера оборотного капитала при просрочке платежей со стороны покупателей;</w:t>
      </w:r>
    </w:p>
    <w:p w:rsidR="00AF026E" w:rsidRPr="00AF026E" w:rsidRDefault="00AF026E" w:rsidP="00AF026E">
      <w:pPr>
        <w:ind w:firstLine="709"/>
        <w:jc w:val="both"/>
        <w:rPr>
          <w:rFonts w:eastAsia="Calibri"/>
          <w:lang w:eastAsia="en-US"/>
        </w:rPr>
      </w:pPr>
      <w:r w:rsidRPr="00AF026E">
        <w:rPr>
          <w:rFonts w:eastAsia="Calibri"/>
          <w:lang w:eastAsia="en-US"/>
        </w:rPr>
        <w:t>расходы на формирование резерва по сомнительным долгам.</w:t>
      </w:r>
    </w:p>
    <w:p w:rsidR="00AF026E" w:rsidRPr="00AF026E" w:rsidRDefault="00AF026E" w:rsidP="00AF026E">
      <w:pPr>
        <w:ind w:firstLine="709"/>
        <w:jc w:val="both"/>
        <w:rPr>
          <w:rFonts w:eastAsia="Calibri"/>
          <w:lang w:eastAsia="en-US"/>
        </w:rPr>
      </w:pPr>
      <w:r w:rsidRPr="00AF026E">
        <w:rPr>
          <w:rFonts w:eastAsia="Calibri"/>
          <w:lang w:eastAsia="en-US"/>
        </w:rPr>
        <w:t>Структурно совокупная выручка гарантирующего поставщика включает в себя:</w:t>
      </w:r>
    </w:p>
    <w:p w:rsidR="00AF026E" w:rsidRPr="00AF026E" w:rsidRDefault="00AF026E" w:rsidP="00AF026E">
      <w:pPr>
        <w:ind w:firstLine="709"/>
        <w:jc w:val="both"/>
        <w:rPr>
          <w:rFonts w:eastAsia="Calibri"/>
          <w:lang w:eastAsia="en-US"/>
        </w:rPr>
      </w:pPr>
      <w:r w:rsidRPr="00AF026E">
        <w:rPr>
          <w:rFonts w:eastAsia="Calibri"/>
          <w:lang w:eastAsia="en-US"/>
        </w:rPr>
        <w:t>выручку от продажи электрической энергии конечным потребителям;</w:t>
      </w:r>
    </w:p>
    <w:p w:rsidR="00AF026E" w:rsidRPr="00AF026E" w:rsidRDefault="00AF026E" w:rsidP="003A43E9">
      <w:pPr>
        <w:ind w:firstLine="709"/>
        <w:jc w:val="both"/>
        <w:rPr>
          <w:rFonts w:eastAsia="Calibri"/>
          <w:lang w:eastAsia="en-US"/>
        </w:rPr>
      </w:pPr>
      <w:r w:rsidRPr="00AF026E">
        <w:rPr>
          <w:rFonts w:eastAsia="Calibri"/>
          <w:lang w:eastAsia="en-US"/>
        </w:rPr>
        <w:t>выручку от продажи электрической энергии сетевым организациям в целях компенсации потерь;</w:t>
      </w:r>
    </w:p>
    <w:p w:rsidR="00AF026E" w:rsidRPr="00AF026E" w:rsidRDefault="00AF026E" w:rsidP="003A43E9">
      <w:pPr>
        <w:ind w:firstLine="709"/>
        <w:jc w:val="both"/>
        <w:rPr>
          <w:rFonts w:eastAsia="Calibri"/>
          <w:lang w:eastAsia="en-US"/>
        </w:rPr>
      </w:pPr>
      <w:r w:rsidRPr="00AF026E">
        <w:rPr>
          <w:rFonts w:eastAsia="Calibri"/>
          <w:lang w:eastAsia="en-US"/>
        </w:rPr>
        <w:t>выручк</w:t>
      </w:r>
      <w:r w:rsidR="003A43E9">
        <w:rPr>
          <w:rFonts w:eastAsia="Calibri"/>
          <w:lang w:eastAsia="en-US"/>
        </w:rPr>
        <w:t>у</w:t>
      </w:r>
      <w:r w:rsidRPr="00AF026E">
        <w:rPr>
          <w:rFonts w:eastAsia="Calibri"/>
          <w:lang w:eastAsia="en-US"/>
        </w:rPr>
        <w:t xml:space="preserve"> от продажи электрической энергии на оптовом рынке электроэнергии и мощности;</w:t>
      </w:r>
    </w:p>
    <w:p w:rsidR="00AF026E" w:rsidRPr="00AF026E" w:rsidRDefault="00AF026E" w:rsidP="003A43E9">
      <w:pPr>
        <w:ind w:firstLine="709"/>
        <w:jc w:val="both"/>
        <w:rPr>
          <w:rFonts w:eastAsia="Calibri"/>
          <w:lang w:eastAsia="en-US"/>
        </w:rPr>
      </w:pPr>
      <w:r w:rsidRPr="00AF026E">
        <w:rPr>
          <w:rFonts w:eastAsia="Calibri"/>
          <w:lang w:eastAsia="en-US"/>
        </w:rPr>
        <w:t>проч</w:t>
      </w:r>
      <w:r w:rsidR="003A43E9">
        <w:rPr>
          <w:rFonts w:eastAsia="Calibri"/>
          <w:lang w:eastAsia="en-US"/>
        </w:rPr>
        <w:t>ую</w:t>
      </w:r>
      <w:r w:rsidRPr="00AF026E">
        <w:rPr>
          <w:rFonts w:eastAsia="Calibri"/>
          <w:lang w:eastAsia="en-US"/>
        </w:rPr>
        <w:t xml:space="preserve"> выручк</w:t>
      </w:r>
      <w:r w:rsidR="003A43E9">
        <w:rPr>
          <w:rFonts w:eastAsia="Calibri"/>
          <w:lang w:eastAsia="en-US"/>
        </w:rPr>
        <w:t>у</w:t>
      </w:r>
      <w:r w:rsidRPr="00AF026E">
        <w:rPr>
          <w:rFonts w:eastAsia="Calibri"/>
          <w:lang w:eastAsia="en-US"/>
        </w:rPr>
        <w:t>.</w:t>
      </w:r>
    </w:p>
    <w:p w:rsidR="00AF026E" w:rsidRPr="00AF026E" w:rsidRDefault="00AF026E" w:rsidP="00AF026E">
      <w:pPr>
        <w:spacing w:after="200"/>
        <w:jc w:val="center"/>
        <w:rPr>
          <w:rFonts w:eastAsia="Calibri"/>
          <w:lang w:eastAsia="en-US"/>
        </w:rPr>
      </w:pPr>
      <w:r w:rsidRPr="00AF026E">
        <w:rPr>
          <w:rFonts w:eastAsia="Calibri"/>
          <w:noProof/>
          <w:sz w:val="22"/>
          <w:szCs w:val="22"/>
        </w:rPr>
        <w:drawing>
          <wp:inline distT="0" distB="0" distL="0" distR="0" wp14:anchorId="777CBBE2" wp14:editId="0740BE2C">
            <wp:extent cx="5688404" cy="3274828"/>
            <wp:effectExtent l="0" t="0" r="26670" b="20955"/>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AF026E" w:rsidRPr="00AF026E" w:rsidRDefault="00AF026E" w:rsidP="00AF026E">
      <w:pPr>
        <w:autoSpaceDE w:val="0"/>
        <w:autoSpaceDN w:val="0"/>
        <w:adjustRightInd w:val="0"/>
        <w:spacing w:after="200"/>
        <w:ind w:firstLine="709"/>
        <w:jc w:val="center"/>
        <w:outlineLvl w:val="2"/>
        <w:rPr>
          <w:rFonts w:eastAsia="Calibri"/>
          <w:b/>
          <w:bCs/>
          <w:lang w:eastAsia="en-US"/>
        </w:rPr>
      </w:pPr>
      <w:r w:rsidRPr="00AF026E">
        <w:rPr>
          <w:rFonts w:eastAsia="Calibri"/>
          <w:b/>
          <w:bCs/>
          <w:lang w:eastAsia="en-US"/>
        </w:rPr>
        <w:t>Диаграмма. Динамика выручки ОАО «Каббалкэнерго» за 2010-2014 гг.</w:t>
      </w:r>
    </w:p>
    <w:p w:rsidR="00AF026E" w:rsidRPr="00AF026E" w:rsidRDefault="00AF026E" w:rsidP="00AF026E">
      <w:pPr>
        <w:ind w:firstLine="709"/>
        <w:jc w:val="both"/>
      </w:pPr>
      <w:r w:rsidRPr="00AF026E">
        <w:rPr>
          <w:bCs/>
        </w:rPr>
        <w:t xml:space="preserve">Анализ динамики выручки ОАО «Каббалкэнерго» за 2010-2014 годы показывает, что в 2014 году выручка ОАО «Каббалкэнерго» увеличилась по сравнению с 2013 годом на 25%, при этом выручка от продажи электроэнергии конечным потребителям на 24%, а выручка от продажи электроэнергии сетевым компаниям увеличилась на 40%. Основными </w:t>
      </w:r>
      <w:r w:rsidRPr="00AF026E">
        <w:rPr>
          <w:bCs/>
        </w:rPr>
        <w:lastRenderedPageBreak/>
        <w:t>факторами роста выручки являются рост тарифов для конечных потребителей, а также рост объемов потребления электроэнергии.</w:t>
      </w:r>
    </w:p>
    <w:p w:rsidR="00AF026E" w:rsidRPr="00AF026E" w:rsidRDefault="00AF026E" w:rsidP="00AF026E">
      <w:pPr>
        <w:shd w:val="clear" w:color="auto" w:fill="FFFFFF"/>
        <w:tabs>
          <w:tab w:val="left" w:pos="993"/>
        </w:tabs>
        <w:spacing w:before="240" w:after="200"/>
        <w:ind w:firstLine="709"/>
        <w:contextualSpacing/>
        <w:jc w:val="both"/>
        <w:rPr>
          <w:rFonts w:eastAsia="Calibri"/>
          <w:bCs/>
          <w:lang w:eastAsia="en-US"/>
        </w:rPr>
      </w:pPr>
      <w:r w:rsidRPr="00AF026E">
        <w:rPr>
          <w:rFonts w:eastAsia="Calibri"/>
          <w:bCs/>
          <w:lang w:eastAsia="en-US"/>
        </w:rPr>
        <w:t>Структурно плановая и фактическая выручка гарантирующего поставщика на собственное содержание представлена на слайдах.</w:t>
      </w:r>
    </w:p>
    <w:p w:rsidR="00AF026E" w:rsidRPr="00AF026E" w:rsidRDefault="00AF026E" w:rsidP="00AF026E">
      <w:pPr>
        <w:shd w:val="clear" w:color="auto" w:fill="FFFFFF"/>
        <w:tabs>
          <w:tab w:val="left" w:pos="993"/>
        </w:tabs>
        <w:spacing w:before="240" w:after="200"/>
        <w:ind w:left="-142"/>
        <w:contextualSpacing/>
        <w:jc w:val="both"/>
        <w:rPr>
          <w:rFonts w:eastAsia="Calibri"/>
          <w:bCs/>
          <w:sz w:val="26"/>
          <w:szCs w:val="26"/>
          <w:lang w:eastAsia="en-US"/>
        </w:rPr>
      </w:pPr>
      <w:r w:rsidRPr="00AF026E">
        <w:rPr>
          <w:noProof/>
          <w:sz w:val="26"/>
          <w:szCs w:val="26"/>
        </w:rPr>
        <w:drawing>
          <wp:inline distT="0" distB="0" distL="0" distR="0" wp14:anchorId="59CC5535" wp14:editId="0EEDA713">
            <wp:extent cx="5895975" cy="2781300"/>
            <wp:effectExtent l="0" t="0" r="9525" b="19050"/>
            <wp:docPr id="7"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AF026E" w:rsidRPr="00AF026E" w:rsidRDefault="00AF026E" w:rsidP="00AF026E">
      <w:pPr>
        <w:autoSpaceDE w:val="0"/>
        <w:autoSpaceDN w:val="0"/>
        <w:adjustRightInd w:val="0"/>
        <w:spacing w:after="200"/>
        <w:jc w:val="center"/>
        <w:outlineLvl w:val="2"/>
        <w:rPr>
          <w:rFonts w:eastAsia="Calibri"/>
          <w:b/>
          <w:bCs/>
          <w:lang w:eastAsia="en-US"/>
        </w:rPr>
      </w:pPr>
      <w:r w:rsidRPr="00AF026E">
        <w:rPr>
          <w:rFonts w:eastAsia="Calibri"/>
          <w:b/>
          <w:bCs/>
          <w:lang w:eastAsia="en-US"/>
        </w:rPr>
        <w:t>Диаграмма. Структура плановой выручки ГП ОАО «Каббалкэнерго» на собственное содержание по группам потребителей</w:t>
      </w:r>
    </w:p>
    <w:p w:rsidR="00AF026E" w:rsidRPr="00AF026E" w:rsidRDefault="00AF026E" w:rsidP="00AF026E">
      <w:pPr>
        <w:autoSpaceDE w:val="0"/>
        <w:autoSpaceDN w:val="0"/>
        <w:adjustRightInd w:val="0"/>
        <w:spacing w:after="200"/>
        <w:jc w:val="center"/>
        <w:outlineLvl w:val="2"/>
        <w:rPr>
          <w:rFonts w:eastAsia="Calibri"/>
          <w:bCs/>
          <w:sz w:val="26"/>
          <w:szCs w:val="26"/>
          <w:lang w:eastAsia="en-US"/>
        </w:rPr>
      </w:pPr>
      <w:r w:rsidRPr="00AF026E">
        <w:rPr>
          <w:rFonts w:eastAsia="Calibri"/>
          <w:bCs/>
          <w:noProof/>
          <w:sz w:val="26"/>
          <w:szCs w:val="26"/>
        </w:rPr>
        <w:drawing>
          <wp:inline distT="0" distB="0" distL="0" distR="0" wp14:anchorId="4E2F4F0E" wp14:editId="07F8AD0C">
            <wp:extent cx="6010275" cy="2486025"/>
            <wp:effectExtent l="0" t="19050" r="9525" b="9525"/>
            <wp:docPr id="8"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AF026E" w:rsidRPr="00AF026E" w:rsidRDefault="00AF026E" w:rsidP="00AF026E">
      <w:pPr>
        <w:autoSpaceDE w:val="0"/>
        <w:autoSpaceDN w:val="0"/>
        <w:adjustRightInd w:val="0"/>
        <w:spacing w:after="200"/>
        <w:ind w:firstLine="539"/>
        <w:jc w:val="center"/>
        <w:outlineLvl w:val="2"/>
        <w:rPr>
          <w:rFonts w:eastAsia="Calibri"/>
          <w:b/>
          <w:bCs/>
          <w:lang w:eastAsia="en-US"/>
        </w:rPr>
      </w:pPr>
      <w:r w:rsidRPr="00AF026E">
        <w:rPr>
          <w:rFonts w:eastAsia="Calibri"/>
          <w:b/>
          <w:bCs/>
          <w:lang w:eastAsia="en-US"/>
        </w:rPr>
        <w:t>Диаграмма. Структура фактической выручки ГП ОАО «Каббалкэнерго» на собственное содержание по группам потребителей</w:t>
      </w:r>
    </w:p>
    <w:p w:rsidR="00AF026E" w:rsidRPr="00AF026E" w:rsidRDefault="00AF026E" w:rsidP="00152CAF">
      <w:pPr>
        <w:autoSpaceDE w:val="0"/>
        <w:autoSpaceDN w:val="0"/>
        <w:adjustRightInd w:val="0"/>
        <w:spacing w:after="200"/>
        <w:ind w:firstLine="709"/>
        <w:contextualSpacing/>
        <w:jc w:val="both"/>
        <w:outlineLvl w:val="2"/>
        <w:rPr>
          <w:rFonts w:eastAsia="Calibri"/>
          <w:lang w:eastAsia="en-US"/>
        </w:rPr>
      </w:pPr>
      <w:r w:rsidRPr="00AF026E">
        <w:rPr>
          <w:bCs/>
        </w:rPr>
        <w:t xml:space="preserve">В структуре выручки </w:t>
      </w:r>
      <w:r w:rsidRPr="00AF026E">
        <w:rPr>
          <w:rFonts w:eastAsia="Calibri"/>
          <w:bCs/>
          <w:lang w:eastAsia="en-US"/>
        </w:rPr>
        <w:t>ОАО «Каббалкэнерго»</w:t>
      </w:r>
      <w:r w:rsidRPr="00AF026E">
        <w:rPr>
          <w:bCs/>
        </w:rPr>
        <w:t xml:space="preserve"> (в части сбытовой надбавки) значительная доля приходится на группу «население» - при плане 24% фактический удельный вес составил 20%. Фактическая выручка на собственное содержание на 26% формируется от поставки электрической энергии сетевым организациям в целях компенсации потерь, в том числе 7% от компенсации сверхнормативных потерь, не предусмотренных планом. Структурные изменения фактической выручки относительно плановой произошли по подгруппам прочих потребителей. Доля выручки приходящейся на подгруппу прочие потребители с присоединенной мощностью энергопринимающих устройств до 150 кВт увеличилась на 4% и составила в структуре фактической выручки 31%. При этом доля выручки приходящейся на подгруппу прочие потребители с </w:t>
      </w:r>
      <w:r w:rsidRPr="00AF026E">
        <w:rPr>
          <w:bCs/>
        </w:rPr>
        <w:lastRenderedPageBreak/>
        <w:t>присоединенной мощностью энергопринимающих устройств не менее 10 МВт снизилась на 6% и составила 3% в структуре фактической выручки 2014 года.</w:t>
      </w:r>
    </w:p>
    <w:p w:rsidR="00AF026E" w:rsidRPr="00AF026E" w:rsidRDefault="00AF026E" w:rsidP="00AF026E">
      <w:pPr>
        <w:autoSpaceDE w:val="0"/>
        <w:autoSpaceDN w:val="0"/>
        <w:adjustRightInd w:val="0"/>
        <w:spacing w:after="200"/>
        <w:ind w:firstLine="709"/>
        <w:jc w:val="both"/>
        <w:outlineLvl w:val="2"/>
        <w:rPr>
          <w:rFonts w:eastAsia="Calibri"/>
          <w:bCs/>
          <w:lang w:eastAsia="en-US"/>
        </w:rPr>
      </w:pPr>
      <w:r w:rsidRPr="00AF026E">
        <w:rPr>
          <w:rFonts w:eastAsia="Calibri"/>
          <w:bCs/>
          <w:lang w:eastAsia="en-US"/>
        </w:rPr>
        <w:t>Динамика изменения средней плановой и фактической сбытовой надбавки гарантирующего поставщика представлена в следующей таблице.</w:t>
      </w:r>
    </w:p>
    <w:p w:rsidR="00AF026E" w:rsidRPr="00AF026E" w:rsidRDefault="00AF026E" w:rsidP="00AF026E">
      <w:pPr>
        <w:autoSpaceDE w:val="0"/>
        <w:autoSpaceDN w:val="0"/>
        <w:adjustRightInd w:val="0"/>
        <w:spacing w:after="200"/>
        <w:jc w:val="center"/>
        <w:outlineLvl w:val="2"/>
        <w:rPr>
          <w:rFonts w:eastAsia="Calibri"/>
          <w:b/>
          <w:bCs/>
          <w:lang w:eastAsia="en-US"/>
        </w:rPr>
      </w:pPr>
      <w:r w:rsidRPr="00AF026E">
        <w:rPr>
          <w:rFonts w:eastAsia="Calibri"/>
          <w:b/>
          <w:bCs/>
          <w:lang w:eastAsia="en-US"/>
        </w:rPr>
        <w:t xml:space="preserve">Анализ изменений </w:t>
      </w:r>
      <w:bookmarkStart w:id="3" w:name="OLE_LINK2"/>
      <w:r w:rsidRPr="00AF026E">
        <w:rPr>
          <w:rFonts w:eastAsia="Calibri"/>
          <w:b/>
          <w:bCs/>
          <w:lang w:eastAsia="en-US"/>
        </w:rPr>
        <w:t>средней сбытовой надбавки ГП, коп./ кВт*ч</w:t>
      </w:r>
      <w:bookmarkEnd w:id="3"/>
    </w:p>
    <w:tbl>
      <w:tblPr>
        <w:tblW w:w="4929"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806"/>
        <w:gridCol w:w="1122"/>
        <w:gridCol w:w="1122"/>
        <w:gridCol w:w="1122"/>
        <w:gridCol w:w="1122"/>
        <w:gridCol w:w="1121"/>
        <w:gridCol w:w="1121"/>
      </w:tblGrid>
      <w:tr w:rsidR="00AF026E" w:rsidRPr="00AF026E" w:rsidTr="002F2EE5">
        <w:trPr>
          <w:trHeight w:val="455"/>
          <w:jc w:val="center"/>
        </w:trPr>
        <w:tc>
          <w:tcPr>
            <w:tcW w:w="1471" w:type="pct"/>
            <w:shd w:val="clear" w:color="auto" w:fill="auto"/>
            <w:vAlign w:val="center"/>
          </w:tcPr>
          <w:p w:rsidR="00AF026E" w:rsidRPr="00AF026E" w:rsidRDefault="00AF026E" w:rsidP="00AF026E">
            <w:pPr>
              <w:spacing w:before="100" w:beforeAutospacing="1" w:after="100" w:afterAutospacing="1"/>
              <w:jc w:val="center"/>
              <w:rPr>
                <w:b/>
              </w:rPr>
            </w:pPr>
            <w:r w:rsidRPr="00AF026E">
              <w:rPr>
                <w:b/>
              </w:rPr>
              <w:t>ОАО «Каббалкэнерго»</w:t>
            </w:r>
          </w:p>
        </w:tc>
        <w:tc>
          <w:tcPr>
            <w:tcW w:w="588" w:type="pct"/>
            <w:vAlign w:val="center"/>
          </w:tcPr>
          <w:p w:rsidR="00AF026E" w:rsidRPr="00AF026E" w:rsidRDefault="00AF026E" w:rsidP="00AF026E">
            <w:pPr>
              <w:spacing w:before="100" w:beforeAutospacing="1" w:after="100" w:afterAutospacing="1"/>
              <w:jc w:val="center"/>
              <w:rPr>
                <w:b/>
              </w:rPr>
            </w:pPr>
            <w:r w:rsidRPr="00AF026E">
              <w:rPr>
                <w:b/>
              </w:rPr>
              <w:t>2010</w:t>
            </w:r>
          </w:p>
        </w:tc>
        <w:tc>
          <w:tcPr>
            <w:tcW w:w="588" w:type="pct"/>
            <w:vAlign w:val="center"/>
          </w:tcPr>
          <w:p w:rsidR="00AF026E" w:rsidRPr="00AF026E" w:rsidRDefault="00AF026E" w:rsidP="00AF026E">
            <w:pPr>
              <w:spacing w:before="100" w:beforeAutospacing="1" w:after="100" w:afterAutospacing="1"/>
              <w:jc w:val="center"/>
              <w:rPr>
                <w:b/>
              </w:rPr>
            </w:pPr>
            <w:r w:rsidRPr="00AF026E">
              <w:rPr>
                <w:b/>
              </w:rPr>
              <w:t>2011</w:t>
            </w:r>
          </w:p>
        </w:tc>
        <w:tc>
          <w:tcPr>
            <w:tcW w:w="588" w:type="pct"/>
            <w:vAlign w:val="center"/>
          </w:tcPr>
          <w:p w:rsidR="00AF026E" w:rsidRPr="00AF026E" w:rsidRDefault="00AF026E" w:rsidP="00AF026E">
            <w:pPr>
              <w:spacing w:before="100" w:beforeAutospacing="1" w:after="100" w:afterAutospacing="1"/>
              <w:jc w:val="center"/>
              <w:rPr>
                <w:b/>
              </w:rPr>
            </w:pPr>
            <w:r w:rsidRPr="00AF026E">
              <w:rPr>
                <w:b/>
              </w:rPr>
              <w:t>2012</w:t>
            </w:r>
          </w:p>
        </w:tc>
        <w:tc>
          <w:tcPr>
            <w:tcW w:w="588" w:type="pct"/>
            <w:vAlign w:val="center"/>
          </w:tcPr>
          <w:p w:rsidR="00AF026E" w:rsidRPr="00AF026E" w:rsidRDefault="00AF026E" w:rsidP="00AF026E">
            <w:pPr>
              <w:spacing w:before="100" w:beforeAutospacing="1" w:after="100" w:afterAutospacing="1"/>
              <w:jc w:val="center"/>
              <w:rPr>
                <w:b/>
              </w:rPr>
            </w:pPr>
            <w:r w:rsidRPr="00AF026E">
              <w:rPr>
                <w:b/>
              </w:rPr>
              <w:t>2013</w:t>
            </w:r>
          </w:p>
        </w:tc>
        <w:tc>
          <w:tcPr>
            <w:tcW w:w="588" w:type="pct"/>
            <w:vAlign w:val="center"/>
          </w:tcPr>
          <w:p w:rsidR="00AF026E" w:rsidRPr="00AF026E" w:rsidRDefault="00AF026E" w:rsidP="00AF026E">
            <w:pPr>
              <w:spacing w:before="100" w:beforeAutospacing="1" w:after="100" w:afterAutospacing="1"/>
              <w:jc w:val="center"/>
              <w:rPr>
                <w:b/>
              </w:rPr>
            </w:pPr>
            <w:r w:rsidRPr="00AF026E">
              <w:rPr>
                <w:b/>
              </w:rPr>
              <w:t>2014</w:t>
            </w:r>
          </w:p>
        </w:tc>
        <w:tc>
          <w:tcPr>
            <w:tcW w:w="588" w:type="pct"/>
            <w:shd w:val="clear" w:color="auto" w:fill="auto"/>
            <w:vAlign w:val="center"/>
          </w:tcPr>
          <w:p w:rsidR="00AF026E" w:rsidRPr="00AF026E" w:rsidRDefault="00AF026E" w:rsidP="00AF026E">
            <w:pPr>
              <w:jc w:val="center"/>
              <w:rPr>
                <w:b/>
                <w:szCs w:val="20"/>
              </w:rPr>
            </w:pPr>
            <w:r w:rsidRPr="00AF026E">
              <w:rPr>
                <w:b/>
                <w:szCs w:val="20"/>
              </w:rPr>
              <w:t>2015</w:t>
            </w:r>
          </w:p>
          <w:p w:rsidR="00AF026E" w:rsidRPr="00AF026E" w:rsidRDefault="00AF026E" w:rsidP="00AF026E">
            <w:pPr>
              <w:jc w:val="center"/>
              <w:rPr>
                <w:b/>
                <w:szCs w:val="20"/>
              </w:rPr>
            </w:pPr>
            <w:r w:rsidRPr="00AF026E">
              <w:rPr>
                <w:b/>
                <w:szCs w:val="20"/>
              </w:rPr>
              <w:t>план</w:t>
            </w:r>
          </w:p>
        </w:tc>
      </w:tr>
      <w:tr w:rsidR="00AF026E" w:rsidRPr="00AF026E" w:rsidTr="002F2EE5">
        <w:trPr>
          <w:trHeight w:val="331"/>
          <w:jc w:val="center"/>
        </w:trPr>
        <w:tc>
          <w:tcPr>
            <w:tcW w:w="1471" w:type="pct"/>
            <w:shd w:val="clear" w:color="auto" w:fill="auto"/>
          </w:tcPr>
          <w:p w:rsidR="00AF026E" w:rsidRPr="00AF026E" w:rsidRDefault="00AF026E" w:rsidP="00AF026E">
            <w:pPr>
              <w:spacing w:before="100" w:beforeAutospacing="1" w:after="100" w:afterAutospacing="1"/>
            </w:pPr>
            <w:r w:rsidRPr="00AF026E">
              <w:t>План</w:t>
            </w:r>
          </w:p>
        </w:tc>
        <w:tc>
          <w:tcPr>
            <w:tcW w:w="588" w:type="pct"/>
            <w:vAlign w:val="center"/>
          </w:tcPr>
          <w:p w:rsidR="00AF026E" w:rsidRPr="00AF026E" w:rsidRDefault="00AF026E" w:rsidP="00AF026E">
            <w:pPr>
              <w:spacing w:before="100" w:beforeAutospacing="1" w:after="100" w:afterAutospacing="1"/>
              <w:jc w:val="center"/>
            </w:pPr>
            <w:r w:rsidRPr="00AF026E">
              <w:t>11,6</w:t>
            </w:r>
          </w:p>
        </w:tc>
        <w:tc>
          <w:tcPr>
            <w:tcW w:w="588" w:type="pct"/>
            <w:vAlign w:val="center"/>
          </w:tcPr>
          <w:p w:rsidR="00AF026E" w:rsidRPr="00AF026E" w:rsidRDefault="00AF026E" w:rsidP="00AF026E">
            <w:pPr>
              <w:spacing w:before="100" w:beforeAutospacing="1" w:after="100" w:afterAutospacing="1"/>
              <w:jc w:val="center"/>
            </w:pPr>
            <w:r w:rsidRPr="00AF026E">
              <w:t>11,7</w:t>
            </w:r>
          </w:p>
        </w:tc>
        <w:tc>
          <w:tcPr>
            <w:tcW w:w="588" w:type="pct"/>
            <w:vAlign w:val="center"/>
          </w:tcPr>
          <w:p w:rsidR="00AF026E" w:rsidRPr="00AF026E" w:rsidRDefault="00AF026E" w:rsidP="00AF026E">
            <w:pPr>
              <w:spacing w:before="100" w:beforeAutospacing="1" w:after="100" w:afterAutospacing="1"/>
              <w:jc w:val="center"/>
            </w:pPr>
            <w:r w:rsidRPr="00AF026E">
              <w:t>11,7</w:t>
            </w:r>
          </w:p>
        </w:tc>
        <w:tc>
          <w:tcPr>
            <w:tcW w:w="588" w:type="pct"/>
            <w:vAlign w:val="center"/>
          </w:tcPr>
          <w:p w:rsidR="00AF026E" w:rsidRPr="00AF026E" w:rsidRDefault="00AF026E" w:rsidP="00AF026E">
            <w:pPr>
              <w:spacing w:before="100" w:beforeAutospacing="1" w:after="100" w:afterAutospacing="1"/>
              <w:jc w:val="center"/>
            </w:pPr>
            <w:r w:rsidRPr="00AF026E">
              <w:t>15,5</w:t>
            </w:r>
          </w:p>
        </w:tc>
        <w:tc>
          <w:tcPr>
            <w:tcW w:w="588" w:type="pct"/>
            <w:vAlign w:val="center"/>
          </w:tcPr>
          <w:p w:rsidR="00AF026E" w:rsidRPr="00AF026E" w:rsidRDefault="00AF026E" w:rsidP="00AF026E">
            <w:pPr>
              <w:spacing w:before="100" w:beforeAutospacing="1" w:after="100" w:afterAutospacing="1"/>
              <w:jc w:val="center"/>
            </w:pPr>
            <w:r w:rsidRPr="00AF026E">
              <w:t>22,2</w:t>
            </w:r>
          </w:p>
        </w:tc>
        <w:tc>
          <w:tcPr>
            <w:tcW w:w="588" w:type="pct"/>
            <w:shd w:val="clear" w:color="auto" w:fill="auto"/>
            <w:vAlign w:val="center"/>
          </w:tcPr>
          <w:p w:rsidR="00AF026E" w:rsidRPr="00AF026E" w:rsidRDefault="00AF026E" w:rsidP="00AF026E">
            <w:pPr>
              <w:spacing w:before="100" w:beforeAutospacing="1" w:after="100" w:afterAutospacing="1"/>
              <w:jc w:val="center"/>
            </w:pPr>
            <w:r w:rsidRPr="00AF026E">
              <w:t>23,1</w:t>
            </w:r>
          </w:p>
        </w:tc>
      </w:tr>
      <w:tr w:rsidR="00AF026E" w:rsidRPr="00AF026E" w:rsidTr="002F2EE5">
        <w:trPr>
          <w:trHeight w:val="331"/>
          <w:jc w:val="center"/>
        </w:trPr>
        <w:tc>
          <w:tcPr>
            <w:tcW w:w="1471" w:type="pct"/>
            <w:shd w:val="clear" w:color="auto" w:fill="auto"/>
          </w:tcPr>
          <w:p w:rsidR="00AF026E" w:rsidRPr="00AF026E" w:rsidRDefault="00AF026E" w:rsidP="00AF026E">
            <w:pPr>
              <w:spacing w:before="100" w:beforeAutospacing="1" w:after="100" w:afterAutospacing="1"/>
              <w:rPr>
                <w:i/>
              </w:rPr>
            </w:pPr>
            <w:r w:rsidRPr="00AF026E">
              <w:rPr>
                <w:i/>
              </w:rPr>
              <w:t>Прирост, %</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42,0</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0,9</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0,0</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32,5</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43,2</w:t>
            </w:r>
          </w:p>
        </w:tc>
        <w:tc>
          <w:tcPr>
            <w:tcW w:w="588" w:type="pct"/>
            <w:shd w:val="clear" w:color="auto" w:fill="auto"/>
            <w:vAlign w:val="center"/>
          </w:tcPr>
          <w:p w:rsidR="00AF026E" w:rsidRPr="00AF026E" w:rsidRDefault="00AF026E" w:rsidP="00AF026E">
            <w:pPr>
              <w:spacing w:before="100" w:beforeAutospacing="1" w:after="100" w:afterAutospacing="1"/>
              <w:jc w:val="center"/>
              <w:rPr>
                <w:i/>
              </w:rPr>
            </w:pPr>
            <w:r w:rsidRPr="00AF026E">
              <w:rPr>
                <w:i/>
              </w:rPr>
              <w:t>4,5</w:t>
            </w:r>
          </w:p>
        </w:tc>
      </w:tr>
      <w:tr w:rsidR="00AF026E" w:rsidRPr="00AF026E" w:rsidTr="002F2EE5">
        <w:trPr>
          <w:trHeight w:val="331"/>
          <w:jc w:val="center"/>
        </w:trPr>
        <w:tc>
          <w:tcPr>
            <w:tcW w:w="1471" w:type="pct"/>
            <w:shd w:val="clear" w:color="auto" w:fill="auto"/>
          </w:tcPr>
          <w:p w:rsidR="00AF026E" w:rsidRPr="00AF026E" w:rsidRDefault="00AF026E" w:rsidP="00AF026E">
            <w:pPr>
              <w:spacing w:before="100" w:beforeAutospacing="1" w:after="100" w:afterAutospacing="1"/>
            </w:pPr>
            <w:r w:rsidRPr="00AF026E">
              <w:t>Факт</w:t>
            </w:r>
          </w:p>
        </w:tc>
        <w:tc>
          <w:tcPr>
            <w:tcW w:w="588" w:type="pct"/>
            <w:vAlign w:val="center"/>
          </w:tcPr>
          <w:p w:rsidR="00AF026E" w:rsidRPr="00AF026E" w:rsidRDefault="00AF026E" w:rsidP="00AF026E">
            <w:pPr>
              <w:spacing w:before="100" w:beforeAutospacing="1" w:after="100" w:afterAutospacing="1"/>
              <w:jc w:val="center"/>
            </w:pPr>
            <w:r w:rsidRPr="00AF026E">
              <w:t>11,6</w:t>
            </w:r>
          </w:p>
        </w:tc>
        <w:tc>
          <w:tcPr>
            <w:tcW w:w="588" w:type="pct"/>
            <w:vAlign w:val="center"/>
          </w:tcPr>
          <w:p w:rsidR="00AF026E" w:rsidRPr="00AF026E" w:rsidRDefault="00AF026E" w:rsidP="00AF026E">
            <w:pPr>
              <w:spacing w:before="100" w:beforeAutospacing="1" w:after="100" w:afterAutospacing="1"/>
              <w:jc w:val="center"/>
            </w:pPr>
            <w:r w:rsidRPr="00AF026E">
              <w:t>11,7</w:t>
            </w:r>
          </w:p>
        </w:tc>
        <w:tc>
          <w:tcPr>
            <w:tcW w:w="588" w:type="pct"/>
            <w:vAlign w:val="center"/>
          </w:tcPr>
          <w:p w:rsidR="00AF026E" w:rsidRPr="00AF026E" w:rsidRDefault="00AF026E" w:rsidP="00AF026E">
            <w:pPr>
              <w:spacing w:before="100" w:beforeAutospacing="1" w:after="100" w:afterAutospacing="1"/>
              <w:jc w:val="center"/>
            </w:pPr>
            <w:r w:rsidRPr="00AF026E">
              <w:t>11,7</w:t>
            </w:r>
          </w:p>
        </w:tc>
        <w:tc>
          <w:tcPr>
            <w:tcW w:w="588" w:type="pct"/>
            <w:vAlign w:val="center"/>
          </w:tcPr>
          <w:p w:rsidR="00AF026E" w:rsidRPr="00AF026E" w:rsidRDefault="00AF026E" w:rsidP="00AF026E">
            <w:pPr>
              <w:spacing w:before="100" w:beforeAutospacing="1" w:after="100" w:afterAutospacing="1"/>
              <w:jc w:val="center"/>
            </w:pPr>
            <w:r w:rsidRPr="00AF026E">
              <w:t>18,9</w:t>
            </w:r>
          </w:p>
        </w:tc>
        <w:tc>
          <w:tcPr>
            <w:tcW w:w="588" w:type="pct"/>
            <w:vAlign w:val="center"/>
          </w:tcPr>
          <w:p w:rsidR="00AF026E" w:rsidRPr="00AF026E" w:rsidRDefault="00AF026E" w:rsidP="00AF026E">
            <w:pPr>
              <w:spacing w:before="100" w:beforeAutospacing="1" w:after="100" w:afterAutospacing="1"/>
              <w:jc w:val="center"/>
            </w:pPr>
            <w:r w:rsidRPr="00AF026E">
              <w:t>25,0</w:t>
            </w:r>
          </w:p>
        </w:tc>
        <w:tc>
          <w:tcPr>
            <w:tcW w:w="588" w:type="pct"/>
            <w:shd w:val="clear" w:color="auto" w:fill="auto"/>
            <w:vAlign w:val="center"/>
          </w:tcPr>
          <w:p w:rsidR="00AF026E" w:rsidRPr="00AF026E" w:rsidRDefault="00AF026E" w:rsidP="00AF026E">
            <w:pPr>
              <w:spacing w:before="100" w:beforeAutospacing="1" w:after="100" w:afterAutospacing="1"/>
              <w:jc w:val="center"/>
            </w:pPr>
            <w:r w:rsidRPr="00AF026E">
              <w:t>х</w:t>
            </w:r>
          </w:p>
        </w:tc>
      </w:tr>
      <w:tr w:rsidR="00AF026E" w:rsidRPr="00AF026E" w:rsidTr="002F2EE5">
        <w:trPr>
          <w:trHeight w:val="331"/>
          <w:jc w:val="center"/>
        </w:trPr>
        <w:tc>
          <w:tcPr>
            <w:tcW w:w="1471" w:type="pct"/>
            <w:shd w:val="clear" w:color="auto" w:fill="auto"/>
          </w:tcPr>
          <w:p w:rsidR="00AF026E" w:rsidRPr="00AF026E" w:rsidRDefault="00AF026E" w:rsidP="00AF026E">
            <w:pPr>
              <w:spacing w:before="100" w:beforeAutospacing="1" w:after="100" w:afterAutospacing="1"/>
              <w:rPr>
                <w:i/>
              </w:rPr>
            </w:pPr>
            <w:r w:rsidRPr="00AF026E">
              <w:rPr>
                <w:i/>
              </w:rPr>
              <w:t>Прирост, %</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42,0</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0,9</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0,0</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61,5</w:t>
            </w:r>
          </w:p>
        </w:tc>
        <w:tc>
          <w:tcPr>
            <w:tcW w:w="588" w:type="pct"/>
            <w:vAlign w:val="center"/>
          </w:tcPr>
          <w:p w:rsidR="00AF026E" w:rsidRPr="00AF026E" w:rsidRDefault="00AF026E" w:rsidP="00AF026E">
            <w:pPr>
              <w:spacing w:before="100" w:beforeAutospacing="1" w:after="100" w:afterAutospacing="1"/>
              <w:jc w:val="center"/>
              <w:rPr>
                <w:i/>
              </w:rPr>
            </w:pPr>
            <w:r w:rsidRPr="00AF026E">
              <w:rPr>
                <w:i/>
              </w:rPr>
              <w:t>32,3</w:t>
            </w:r>
          </w:p>
        </w:tc>
        <w:tc>
          <w:tcPr>
            <w:tcW w:w="588" w:type="pct"/>
            <w:shd w:val="clear" w:color="auto" w:fill="auto"/>
            <w:vAlign w:val="center"/>
          </w:tcPr>
          <w:p w:rsidR="00AF026E" w:rsidRPr="00AF026E" w:rsidRDefault="00AF026E" w:rsidP="00AF026E">
            <w:pPr>
              <w:spacing w:before="100" w:beforeAutospacing="1" w:after="100" w:afterAutospacing="1"/>
              <w:jc w:val="center"/>
              <w:rPr>
                <w:i/>
              </w:rPr>
            </w:pPr>
            <w:r w:rsidRPr="00AF026E">
              <w:rPr>
                <w:i/>
              </w:rPr>
              <w:t>х</w:t>
            </w:r>
          </w:p>
        </w:tc>
      </w:tr>
      <w:tr w:rsidR="00AF026E" w:rsidRPr="00AF026E" w:rsidTr="002F2EE5">
        <w:trPr>
          <w:trHeight w:val="331"/>
          <w:jc w:val="center"/>
        </w:trPr>
        <w:tc>
          <w:tcPr>
            <w:tcW w:w="1471" w:type="pct"/>
            <w:shd w:val="clear" w:color="auto" w:fill="auto"/>
          </w:tcPr>
          <w:p w:rsidR="00AF026E" w:rsidRPr="00AF026E" w:rsidRDefault="00AF026E" w:rsidP="00AF026E">
            <w:pPr>
              <w:spacing w:before="100" w:beforeAutospacing="1" w:after="100" w:afterAutospacing="1"/>
            </w:pPr>
            <w:r w:rsidRPr="00AF026E">
              <w:t>Отн. факта к плану, %</w:t>
            </w:r>
          </w:p>
        </w:tc>
        <w:tc>
          <w:tcPr>
            <w:tcW w:w="588" w:type="pct"/>
            <w:vAlign w:val="center"/>
          </w:tcPr>
          <w:p w:rsidR="00AF026E" w:rsidRPr="00AF026E" w:rsidRDefault="00AF026E" w:rsidP="00AF026E">
            <w:pPr>
              <w:spacing w:before="100" w:beforeAutospacing="1" w:after="100" w:afterAutospacing="1"/>
              <w:jc w:val="center"/>
            </w:pPr>
            <w:r w:rsidRPr="00AF026E">
              <w:t>100</w:t>
            </w:r>
          </w:p>
        </w:tc>
        <w:tc>
          <w:tcPr>
            <w:tcW w:w="588" w:type="pct"/>
            <w:vAlign w:val="center"/>
          </w:tcPr>
          <w:p w:rsidR="00AF026E" w:rsidRPr="00AF026E" w:rsidRDefault="00AF026E" w:rsidP="00AF026E">
            <w:pPr>
              <w:spacing w:before="100" w:beforeAutospacing="1" w:after="100" w:afterAutospacing="1"/>
              <w:jc w:val="center"/>
            </w:pPr>
            <w:r w:rsidRPr="00AF026E">
              <w:t>100</w:t>
            </w:r>
          </w:p>
        </w:tc>
        <w:tc>
          <w:tcPr>
            <w:tcW w:w="588" w:type="pct"/>
            <w:vAlign w:val="center"/>
          </w:tcPr>
          <w:p w:rsidR="00AF026E" w:rsidRPr="00AF026E" w:rsidRDefault="00AF026E" w:rsidP="00AF026E">
            <w:pPr>
              <w:spacing w:before="100" w:beforeAutospacing="1" w:after="100" w:afterAutospacing="1"/>
              <w:jc w:val="center"/>
            </w:pPr>
            <w:r w:rsidRPr="00AF026E">
              <w:t>100</w:t>
            </w:r>
          </w:p>
        </w:tc>
        <w:tc>
          <w:tcPr>
            <w:tcW w:w="588" w:type="pct"/>
            <w:vAlign w:val="center"/>
          </w:tcPr>
          <w:p w:rsidR="00AF026E" w:rsidRPr="00AF026E" w:rsidRDefault="00AF026E" w:rsidP="00AF026E">
            <w:pPr>
              <w:spacing w:before="100" w:beforeAutospacing="1" w:after="100" w:afterAutospacing="1"/>
              <w:jc w:val="center"/>
            </w:pPr>
            <w:r w:rsidRPr="00AF026E">
              <w:t>122</w:t>
            </w:r>
          </w:p>
        </w:tc>
        <w:tc>
          <w:tcPr>
            <w:tcW w:w="588" w:type="pct"/>
            <w:vAlign w:val="center"/>
          </w:tcPr>
          <w:p w:rsidR="00AF026E" w:rsidRPr="00AF026E" w:rsidRDefault="00AF026E" w:rsidP="00AF026E">
            <w:pPr>
              <w:spacing w:before="100" w:beforeAutospacing="1" w:after="100" w:afterAutospacing="1"/>
              <w:jc w:val="center"/>
            </w:pPr>
            <w:r w:rsidRPr="00AF026E">
              <w:t>113</w:t>
            </w:r>
          </w:p>
        </w:tc>
        <w:tc>
          <w:tcPr>
            <w:tcW w:w="588" w:type="pct"/>
            <w:shd w:val="clear" w:color="auto" w:fill="auto"/>
            <w:vAlign w:val="center"/>
          </w:tcPr>
          <w:p w:rsidR="00AF026E" w:rsidRPr="00AF026E" w:rsidRDefault="00AF026E" w:rsidP="00AF026E">
            <w:pPr>
              <w:spacing w:before="100" w:beforeAutospacing="1" w:after="100" w:afterAutospacing="1"/>
              <w:jc w:val="center"/>
            </w:pPr>
            <w:r w:rsidRPr="00AF026E">
              <w:t>х</w:t>
            </w:r>
          </w:p>
        </w:tc>
      </w:tr>
    </w:tbl>
    <w:p w:rsidR="00AF026E" w:rsidRPr="00AF026E" w:rsidRDefault="00AF026E" w:rsidP="00AF026E">
      <w:pPr>
        <w:autoSpaceDE w:val="0"/>
        <w:autoSpaceDN w:val="0"/>
        <w:adjustRightInd w:val="0"/>
        <w:ind w:firstLine="709"/>
        <w:jc w:val="both"/>
        <w:outlineLvl w:val="2"/>
      </w:pPr>
    </w:p>
    <w:p w:rsidR="00AF026E" w:rsidRPr="00AF026E" w:rsidRDefault="00AF026E" w:rsidP="00AF026E">
      <w:pPr>
        <w:autoSpaceDE w:val="0"/>
        <w:autoSpaceDN w:val="0"/>
        <w:adjustRightInd w:val="0"/>
        <w:ind w:firstLine="709"/>
        <w:jc w:val="both"/>
        <w:outlineLvl w:val="2"/>
      </w:pPr>
      <w:r w:rsidRPr="00AF026E">
        <w:t xml:space="preserve">Фактическая средняя сбытовая надбавка ОАО «Каббалкэнерго» по всем группам потребителей за 2014 год составила 25,0 коп./кВт.ч. при плановой 22,2 коп./кВт.ч (прирост 13%). Увеличение средней сбытовой надбавки связано с отклонением фактической структуры полезного отпуска электрической энергии по группам потребителей по сравнению с плановой структурой. Рост сбытовой надбавки по сравнению с 2013 годом составил 32%, что связано с расширением состава расходов, включаемых в сбытовую надбавку в соответствии с Методическими указаниями по расчету сбытовых надбавок гарантирующих поставщиков и размера доходности продаж гарантирующих поставщиков, утвержденными приказом ФСТ России от 30.10.2012 N 703-э. </w:t>
      </w:r>
    </w:p>
    <w:p w:rsidR="00AF026E" w:rsidRPr="00AF026E" w:rsidRDefault="00AF026E" w:rsidP="00AF026E">
      <w:pPr>
        <w:autoSpaceDE w:val="0"/>
        <w:autoSpaceDN w:val="0"/>
        <w:adjustRightInd w:val="0"/>
        <w:ind w:firstLine="709"/>
        <w:jc w:val="both"/>
        <w:outlineLvl w:val="2"/>
        <w:rPr>
          <w:rFonts w:eastAsia="Calibri"/>
          <w:bCs/>
          <w:lang w:eastAsia="en-US"/>
        </w:rPr>
      </w:pPr>
      <w:r w:rsidRPr="00AF026E">
        <w:rPr>
          <w:rFonts w:eastAsia="Calibri"/>
          <w:bCs/>
          <w:lang w:eastAsia="en-US"/>
        </w:rPr>
        <w:t>Динамика выручки гарантирующего поставщика от конечных потребителей и сетевых организаций, а также ее структурное изменение с выделением выручки на собственное содержание представлены в следующей таблице и слайде.</w:t>
      </w:r>
    </w:p>
    <w:p w:rsidR="00AF026E" w:rsidRPr="00AF026E" w:rsidRDefault="00AF026E" w:rsidP="00AF026E">
      <w:pPr>
        <w:autoSpaceDE w:val="0"/>
        <w:autoSpaceDN w:val="0"/>
        <w:adjustRightInd w:val="0"/>
        <w:jc w:val="center"/>
        <w:outlineLvl w:val="2"/>
        <w:rPr>
          <w:rFonts w:eastAsia="Calibri"/>
          <w:b/>
          <w:bCs/>
          <w:lang w:eastAsia="en-US"/>
        </w:rPr>
      </w:pPr>
    </w:p>
    <w:p w:rsidR="00AF026E" w:rsidRPr="00AF026E" w:rsidRDefault="00AF026E" w:rsidP="00AF026E">
      <w:pPr>
        <w:autoSpaceDE w:val="0"/>
        <w:autoSpaceDN w:val="0"/>
        <w:adjustRightInd w:val="0"/>
        <w:jc w:val="center"/>
        <w:outlineLvl w:val="2"/>
        <w:rPr>
          <w:rFonts w:eastAsia="Calibri"/>
          <w:b/>
          <w:bCs/>
          <w:lang w:eastAsia="en-US"/>
        </w:rPr>
      </w:pPr>
      <w:bookmarkStart w:id="4" w:name="OLE_LINK1"/>
      <w:r w:rsidRPr="00AF026E">
        <w:rPr>
          <w:rFonts w:eastAsia="Calibri"/>
          <w:b/>
          <w:bCs/>
          <w:lang w:eastAsia="en-US"/>
        </w:rPr>
        <w:t xml:space="preserve">Динамика выручки ОАО «Каббалкэнерго» </w:t>
      </w:r>
    </w:p>
    <w:p w:rsidR="00AF026E" w:rsidRPr="00AF026E" w:rsidRDefault="00AF026E" w:rsidP="00AF026E">
      <w:pPr>
        <w:autoSpaceDE w:val="0"/>
        <w:autoSpaceDN w:val="0"/>
        <w:adjustRightInd w:val="0"/>
        <w:spacing w:after="200"/>
        <w:jc w:val="center"/>
        <w:outlineLvl w:val="2"/>
        <w:rPr>
          <w:rFonts w:eastAsia="Calibri"/>
          <w:b/>
          <w:bCs/>
          <w:lang w:eastAsia="en-US"/>
        </w:rPr>
      </w:pPr>
      <w:r w:rsidRPr="00AF026E">
        <w:rPr>
          <w:rFonts w:eastAsia="Calibri"/>
          <w:b/>
          <w:bCs/>
          <w:lang w:eastAsia="en-US"/>
        </w:rPr>
        <w:t>(от конечных потребителей и сетевых организаций), млн. руб.</w:t>
      </w:r>
    </w:p>
    <w:tbl>
      <w:tblPr>
        <w:tblW w:w="9889" w:type="dxa"/>
        <w:jc w:val="center"/>
        <w:tblInd w:w="93" w:type="dxa"/>
        <w:tblLook w:val="04A0" w:firstRow="1" w:lastRow="0" w:firstColumn="1" w:lastColumn="0" w:noHBand="0" w:noVBand="1"/>
      </w:tblPr>
      <w:tblGrid>
        <w:gridCol w:w="1465"/>
        <w:gridCol w:w="671"/>
        <w:gridCol w:w="733"/>
        <w:gridCol w:w="671"/>
        <w:gridCol w:w="733"/>
        <w:gridCol w:w="671"/>
        <w:gridCol w:w="733"/>
        <w:gridCol w:w="671"/>
        <w:gridCol w:w="733"/>
        <w:gridCol w:w="671"/>
        <w:gridCol w:w="733"/>
        <w:gridCol w:w="671"/>
        <w:gridCol w:w="733"/>
      </w:tblGrid>
      <w:tr w:rsidR="00AF026E" w:rsidRPr="00AF026E" w:rsidTr="002F2EE5">
        <w:trPr>
          <w:trHeight w:val="300"/>
          <w:jc w:val="center"/>
        </w:trPr>
        <w:tc>
          <w:tcPr>
            <w:tcW w:w="14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bookmarkEnd w:id="4"/>
          <w:p w:rsidR="00AF026E" w:rsidRPr="00AF026E" w:rsidRDefault="00AF026E" w:rsidP="00AF026E">
            <w:pPr>
              <w:jc w:val="center"/>
              <w:rPr>
                <w:color w:val="000000"/>
                <w:sz w:val="20"/>
                <w:szCs w:val="20"/>
              </w:rPr>
            </w:pPr>
            <w:r w:rsidRPr="00AF026E">
              <w:rPr>
                <w:color w:val="000000"/>
                <w:sz w:val="20"/>
                <w:szCs w:val="20"/>
              </w:rPr>
              <w:t>Наименование</w:t>
            </w:r>
          </w:p>
        </w:tc>
        <w:tc>
          <w:tcPr>
            <w:tcW w:w="1404" w:type="dxa"/>
            <w:gridSpan w:val="2"/>
            <w:tcBorders>
              <w:top w:val="single" w:sz="4" w:space="0" w:color="auto"/>
              <w:left w:val="nil"/>
              <w:bottom w:val="single" w:sz="4" w:space="0" w:color="auto"/>
              <w:right w:val="single" w:sz="4" w:space="0" w:color="000000"/>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2010</w:t>
            </w:r>
          </w:p>
        </w:tc>
        <w:tc>
          <w:tcPr>
            <w:tcW w:w="1404" w:type="dxa"/>
            <w:gridSpan w:val="2"/>
            <w:tcBorders>
              <w:top w:val="single" w:sz="4" w:space="0" w:color="auto"/>
              <w:left w:val="nil"/>
              <w:bottom w:val="single" w:sz="4" w:space="0" w:color="auto"/>
              <w:right w:val="single" w:sz="4" w:space="0" w:color="000000"/>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2011</w:t>
            </w:r>
          </w:p>
        </w:tc>
        <w:tc>
          <w:tcPr>
            <w:tcW w:w="1404" w:type="dxa"/>
            <w:gridSpan w:val="2"/>
            <w:tcBorders>
              <w:top w:val="single" w:sz="4" w:space="0" w:color="auto"/>
              <w:left w:val="nil"/>
              <w:bottom w:val="single" w:sz="4" w:space="0" w:color="auto"/>
              <w:right w:val="single" w:sz="4" w:space="0" w:color="000000"/>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2012</w:t>
            </w:r>
          </w:p>
        </w:tc>
        <w:tc>
          <w:tcPr>
            <w:tcW w:w="1404" w:type="dxa"/>
            <w:gridSpan w:val="2"/>
            <w:tcBorders>
              <w:top w:val="single" w:sz="4" w:space="0" w:color="auto"/>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2013</w:t>
            </w:r>
          </w:p>
        </w:tc>
        <w:tc>
          <w:tcPr>
            <w:tcW w:w="1404" w:type="dxa"/>
            <w:gridSpan w:val="2"/>
            <w:tcBorders>
              <w:top w:val="single" w:sz="4" w:space="0" w:color="auto"/>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2014</w:t>
            </w:r>
          </w:p>
        </w:tc>
        <w:tc>
          <w:tcPr>
            <w:tcW w:w="1404" w:type="dxa"/>
            <w:gridSpan w:val="2"/>
            <w:tcBorders>
              <w:top w:val="single" w:sz="4" w:space="0" w:color="auto"/>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b/>
                <w:bCs/>
                <w:color w:val="000000"/>
                <w:sz w:val="20"/>
                <w:szCs w:val="20"/>
              </w:rPr>
            </w:pPr>
            <w:r w:rsidRPr="00AF026E">
              <w:rPr>
                <w:b/>
                <w:bCs/>
                <w:color w:val="000000"/>
                <w:sz w:val="20"/>
                <w:szCs w:val="20"/>
              </w:rPr>
              <w:t>2015 план</w:t>
            </w:r>
          </w:p>
        </w:tc>
      </w:tr>
      <w:tr w:rsidR="00AF026E" w:rsidRPr="00AF026E" w:rsidTr="002F2EE5">
        <w:trPr>
          <w:trHeight w:val="300"/>
          <w:jc w:val="center"/>
        </w:trPr>
        <w:tc>
          <w:tcPr>
            <w:tcW w:w="1465" w:type="dxa"/>
            <w:vMerge/>
            <w:tcBorders>
              <w:top w:val="single" w:sz="4" w:space="0" w:color="auto"/>
              <w:left w:val="single" w:sz="4" w:space="0" w:color="auto"/>
              <w:bottom w:val="single" w:sz="4" w:space="0" w:color="auto"/>
              <w:right w:val="single" w:sz="4" w:space="0" w:color="auto"/>
            </w:tcBorders>
            <w:vAlign w:val="center"/>
            <w:hideMark/>
          </w:tcPr>
          <w:p w:rsidR="00AF026E" w:rsidRPr="00AF026E" w:rsidRDefault="00AF026E" w:rsidP="00AF026E">
            <w:pPr>
              <w:rPr>
                <w:color w:val="000000"/>
                <w:sz w:val="20"/>
                <w:szCs w:val="20"/>
              </w:rPr>
            </w:pP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всего</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собст.</w:t>
            </w:r>
          </w:p>
        </w:tc>
      </w:tr>
      <w:tr w:rsidR="00AF026E" w:rsidRPr="00AF026E" w:rsidTr="002F2EE5">
        <w:trPr>
          <w:trHeight w:val="300"/>
          <w:jc w:val="center"/>
        </w:trPr>
        <w:tc>
          <w:tcPr>
            <w:tcW w:w="1465" w:type="dxa"/>
            <w:tcBorders>
              <w:top w:val="nil"/>
              <w:left w:val="single" w:sz="4" w:space="0" w:color="auto"/>
              <w:bottom w:val="single" w:sz="4" w:space="0" w:color="auto"/>
              <w:right w:val="single" w:sz="4" w:space="0" w:color="auto"/>
            </w:tcBorders>
            <w:shd w:val="clear" w:color="000000" w:fill="FFFFFF"/>
            <w:vAlign w:val="center"/>
            <w:hideMark/>
          </w:tcPr>
          <w:p w:rsidR="00AF026E" w:rsidRPr="00AF026E" w:rsidRDefault="00AF026E" w:rsidP="00AF026E">
            <w:pPr>
              <w:rPr>
                <w:b/>
                <w:bCs/>
                <w:color w:val="000000"/>
                <w:sz w:val="22"/>
                <w:szCs w:val="22"/>
              </w:rPr>
            </w:pPr>
            <w:r w:rsidRPr="00AF026E">
              <w:rPr>
                <w:b/>
                <w:bCs/>
                <w:color w:val="000000"/>
                <w:sz w:val="22"/>
                <w:szCs w:val="22"/>
              </w:rPr>
              <w:t>План</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2488</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155,7</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2248</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167,9</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2261</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171,9</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2495</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235,0</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3644</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335,0</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3991</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355</w:t>
            </w:r>
          </w:p>
        </w:tc>
      </w:tr>
      <w:tr w:rsidR="00AF026E" w:rsidRPr="00AF026E" w:rsidTr="002F2EE5">
        <w:trPr>
          <w:trHeight w:val="300"/>
          <w:jc w:val="center"/>
        </w:trPr>
        <w:tc>
          <w:tcPr>
            <w:tcW w:w="1465" w:type="dxa"/>
            <w:tcBorders>
              <w:top w:val="nil"/>
              <w:left w:val="single" w:sz="4" w:space="0" w:color="auto"/>
              <w:bottom w:val="single" w:sz="4" w:space="0" w:color="auto"/>
              <w:right w:val="single" w:sz="4" w:space="0" w:color="auto"/>
            </w:tcBorders>
            <w:shd w:val="clear" w:color="auto" w:fill="auto"/>
            <w:vAlign w:val="center"/>
            <w:hideMark/>
          </w:tcPr>
          <w:p w:rsidR="00AF026E" w:rsidRPr="00AF026E" w:rsidRDefault="00AF026E" w:rsidP="00AF026E">
            <w:pPr>
              <w:rPr>
                <w:i/>
                <w:iCs/>
                <w:color w:val="000000"/>
                <w:sz w:val="22"/>
                <w:szCs w:val="22"/>
              </w:rPr>
            </w:pPr>
            <w:r w:rsidRPr="00AF026E">
              <w:rPr>
                <w:i/>
                <w:iCs/>
                <w:color w:val="000000"/>
                <w:sz w:val="22"/>
                <w:szCs w:val="22"/>
              </w:rPr>
              <w:t>Прирост, %</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13</w:t>
            </w:r>
          </w:p>
        </w:tc>
        <w:tc>
          <w:tcPr>
            <w:tcW w:w="733" w:type="dxa"/>
            <w:tcBorders>
              <w:top w:val="nil"/>
              <w:left w:val="nil"/>
              <w:bottom w:val="single" w:sz="4" w:space="0" w:color="auto"/>
              <w:right w:val="single" w:sz="4" w:space="0" w:color="auto"/>
            </w:tcBorders>
            <w:shd w:val="clear" w:color="000000" w:fill="FFFFFF"/>
            <w:vAlign w:val="center"/>
            <w:hideMark/>
          </w:tcPr>
          <w:p w:rsidR="00AF026E" w:rsidRPr="00AF026E" w:rsidRDefault="00AF026E" w:rsidP="00AF026E">
            <w:pPr>
              <w:jc w:val="center"/>
              <w:rPr>
                <w:i/>
                <w:iCs/>
                <w:color w:val="000000"/>
                <w:sz w:val="20"/>
                <w:szCs w:val="20"/>
              </w:rPr>
            </w:pPr>
            <w:r w:rsidRPr="00AF026E">
              <w:rPr>
                <w:i/>
                <w:iCs/>
                <w:color w:val="000000"/>
                <w:sz w:val="20"/>
                <w:szCs w:val="20"/>
              </w:rPr>
              <w:t>39,3</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-9,7</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7,9</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0,6</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2,4</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10,4</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36,7</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46,0</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39,0</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9,5</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5,9</w:t>
            </w:r>
          </w:p>
        </w:tc>
      </w:tr>
      <w:tr w:rsidR="00AF026E" w:rsidRPr="00AF026E" w:rsidTr="002F2EE5">
        <w:trPr>
          <w:trHeight w:val="300"/>
          <w:jc w:val="center"/>
        </w:trPr>
        <w:tc>
          <w:tcPr>
            <w:tcW w:w="1465" w:type="dxa"/>
            <w:tcBorders>
              <w:top w:val="nil"/>
              <w:left w:val="single" w:sz="4" w:space="0" w:color="auto"/>
              <w:bottom w:val="single" w:sz="4" w:space="0" w:color="auto"/>
              <w:right w:val="single" w:sz="4" w:space="0" w:color="auto"/>
            </w:tcBorders>
            <w:shd w:val="clear" w:color="auto" w:fill="auto"/>
            <w:vAlign w:val="center"/>
            <w:hideMark/>
          </w:tcPr>
          <w:p w:rsidR="00AF026E" w:rsidRPr="00AF026E" w:rsidRDefault="00AF026E" w:rsidP="00AF026E">
            <w:pPr>
              <w:rPr>
                <w:b/>
                <w:bCs/>
                <w:color w:val="000000"/>
                <w:sz w:val="22"/>
                <w:szCs w:val="22"/>
              </w:rPr>
            </w:pPr>
            <w:r w:rsidRPr="00AF026E">
              <w:rPr>
                <w:b/>
                <w:bCs/>
                <w:color w:val="000000"/>
                <w:sz w:val="22"/>
                <w:szCs w:val="22"/>
              </w:rPr>
              <w:t>Факт</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2527</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163,5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2209</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169,8</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2232</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173,1</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2901</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283,5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3646</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386,5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х</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х</w:t>
            </w:r>
          </w:p>
        </w:tc>
      </w:tr>
      <w:tr w:rsidR="00AF026E" w:rsidRPr="00AF026E" w:rsidTr="002F2EE5">
        <w:trPr>
          <w:trHeight w:val="300"/>
          <w:jc w:val="center"/>
        </w:trPr>
        <w:tc>
          <w:tcPr>
            <w:tcW w:w="1465" w:type="dxa"/>
            <w:tcBorders>
              <w:top w:val="nil"/>
              <w:left w:val="single" w:sz="4" w:space="0" w:color="auto"/>
              <w:bottom w:val="single" w:sz="4" w:space="0" w:color="auto"/>
              <w:right w:val="single" w:sz="4" w:space="0" w:color="auto"/>
            </w:tcBorders>
            <w:shd w:val="clear" w:color="auto" w:fill="auto"/>
            <w:vAlign w:val="center"/>
            <w:hideMark/>
          </w:tcPr>
          <w:p w:rsidR="00AF026E" w:rsidRPr="00AF026E" w:rsidRDefault="00AF026E" w:rsidP="00AF026E">
            <w:pPr>
              <w:rPr>
                <w:i/>
                <w:iCs/>
                <w:color w:val="000000"/>
                <w:sz w:val="22"/>
                <w:szCs w:val="22"/>
              </w:rPr>
            </w:pPr>
            <w:r w:rsidRPr="00AF026E">
              <w:rPr>
                <w:i/>
                <w:iCs/>
                <w:color w:val="000000"/>
                <w:sz w:val="22"/>
                <w:szCs w:val="22"/>
              </w:rPr>
              <w:t>Прирост, %</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15</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46,1</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-12,6</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3,8</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1,1</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1,9</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30</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63,8</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25,7</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36,5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х</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i/>
                <w:iCs/>
                <w:color w:val="000000"/>
                <w:sz w:val="20"/>
                <w:szCs w:val="20"/>
              </w:rPr>
            </w:pPr>
            <w:r w:rsidRPr="00AF026E">
              <w:rPr>
                <w:i/>
                <w:iCs/>
                <w:color w:val="000000"/>
                <w:sz w:val="20"/>
                <w:szCs w:val="20"/>
              </w:rPr>
              <w:t>х</w:t>
            </w:r>
          </w:p>
        </w:tc>
      </w:tr>
      <w:tr w:rsidR="00AF026E" w:rsidRPr="00AF026E" w:rsidTr="002F2EE5">
        <w:trPr>
          <w:trHeight w:val="600"/>
          <w:jc w:val="center"/>
        </w:trPr>
        <w:tc>
          <w:tcPr>
            <w:tcW w:w="1465" w:type="dxa"/>
            <w:tcBorders>
              <w:top w:val="nil"/>
              <w:left w:val="single" w:sz="4" w:space="0" w:color="auto"/>
              <w:bottom w:val="single" w:sz="4" w:space="0" w:color="auto"/>
              <w:right w:val="single" w:sz="4" w:space="0" w:color="auto"/>
            </w:tcBorders>
            <w:shd w:val="clear" w:color="auto" w:fill="auto"/>
            <w:vAlign w:val="center"/>
            <w:hideMark/>
          </w:tcPr>
          <w:p w:rsidR="00AF026E" w:rsidRPr="00AF026E" w:rsidRDefault="00AF026E" w:rsidP="00AF026E">
            <w:pPr>
              <w:rPr>
                <w:color w:val="000000"/>
                <w:sz w:val="22"/>
                <w:szCs w:val="22"/>
              </w:rPr>
            </w:pPr>
            <w:r w:rsidRPr="00AF026E">
              <w:rPr>
                <w:color w:val="000000"/>
                <w:sz w:val="22"/>
                <w:szCs w:val="22"/>
              </w:rPr>
              <w:t>Отн. факта к плану, %</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102</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105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98</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101</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99</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101</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116</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121</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100</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115</w:t>
            </w:r>
          </w:p>
        </w:tc>
        <w:tc>
          <w:tcPr>
            <w:tcW w:w="671"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х</w:t>
            </w:r>
          </w:p>
        </w:tc>
        <w:tc>
          <w:tcPr>
            <w:tcW w:w="733" w:type="dxa"/>
            <w:tcBorders>
              <w:top w:val="nil"/>
              <w:left w:val="nil"/>
              <w:bottom w:val="single" w:sz="4" w:space="0" w:color="auto"/>
              <w:right w:val="single" w:sz="4" w:space="0" w:color="auto"/>
            </w:tcBorders>
            <w:shd w:val="clear" w:color="auto" w:fill="auto"/>
            <w:vAlign w:val="center"/>
            <w:hideMark/>
          </w:tcPr>
          <w:p w:rsidR="00AF026E" w:rsidRPr="00AF026E" w:rsidRDefault="00AF026E" w:rsidP="00AF026E">
            <w:pPr>
              <w:jc w:val="center"/>
              <w:rPr>
                <w:color w:val="000000"/>
                <w:sz w:val="20"/>
                <w:szCs w:val="20"/>
              </w:rPr>
            </w:pPr>
            <w:r w:rsidRPr="00AF026E">
              <w:rPr>
                <w:color w:val="000000"/>
                <w:sz w:val="20"/>
                <w:szCs w:val="20"/>
              </w:rPr>
              <w:t>х</w:t>
            </w:r>
          </w:p>
        </w:tc>
      </w:tr>
    </w:tbl>
    <w:p w:rsidR="00AF026E" w:rsidRPr="00AF026E" w:rsidRDefault="00AF026E" w:rsidP="00AF026E">
      <w:pPr>
        <w:spacing w:before="240" w:after="200"/>
        <w:ind w:firstLine="709"/>
        <w:jc w:val="both"/>
        <w:rPr>
          <w:rFonts w:eastAsia="Calibri"/>
          <w:lang w:eastAsia="en-US"/>
        </w:rPr>
      </w:pPr>
      <w:r w:rsidRPr="00AF026E">
        <w:rPr>
          <w:rFonts w:eastAsia="Calibri"/>
          <w:lang w:eastAsia="en-US"/>
        </w:rPr>
        <w:t>Динамика выручки ОАО «Каббалкэнерго»</w:t>
      </w:r>
      <w:r w:rsidRPr="00AF026E">
        <w:rPr>
          <w:rFonts w:ascii="Calibri" w:eastAsia="Calibri" w:hAnsi="Calibri"/>
          <w:lang w:eastAsia="en-US"/>
        </w:rPr>
        <w:t xml:space="preserve"> </w:t>
      </w:r>
      <w:r w:rsidRPr="00AF026E">
        <w:rPr>
          <w:rFonts w:eastAsia="Calibri"/>
          <w:lang w:eastAsia="en-US"/>
        </w:rPr>
        <w:t>показывает, что за последние пять лет собственная выручка Общества увеличивалась более высокими темпами, чем выручка от конечных потребителей и сетевых организаций. Так, фактическая собственная выручка в 2014 году увеличилась по отношению к 2013 году на 36,5%, по отношению к 2010 году – на 136%. При этом выручка</w:t>
      </w:r>
      <w:r w:rsidRPr="00AF026E">
        <w:rPr>
          <w:rFonts w:ascii="Calibri" w:eastAsia="Calibri" w:hAnsi="Calibri"/>
          <w:lang w:eastAsia="en-US"/>
        </w:rPr>
        <w:t xml:space="preserve"> </w:t>
      </w:r>
      <w:r w:rsidRPr="00AF026E">
        <w:rPr>
          <w:rFonts w:eastAsia="Calibri"/>
          <w:lang w:eastAsia="en-US"/>
        </w:rPr>
        <w:t>от конечных потребителей и сетевых организаций за период с 2010 года по 2014 год выросла на 44%. Увеличение собственной выручки связано с тем, что</w:t>
      </w:r>
      <w:r w:rsidRPr="00AF026E">
        <w:rPr>
          <w:rFonts w:ascii="Calibri" w:eastAsia="Calibri" w:hAnsi="Calibri"/>
          <w:lang w:eastAsia="en-US"/>
        </w:rPr>
        <w:t xml:space="preserve"> </w:t>
      </w:r>
      <w:r w:rsidRPr="00AF026E">
        <w:rPr>
          <w:rFonts w:eastAsia="Calibri"/>
          <w:lang w:eastAsia="en-US"/>
        </w:rPr>
        <w:t>вступление в силу новых Методических указаний по расчету сбытовых надбавок гарантирующих поставщиков законодательно</w:t>
      </w:r>
      <w:r w:rsidRPr="00AF026E">
        <w:rPr>
          <w:szCs w:val="20"/>
        </w:rPr>
        <w:t xml:space="preserve"> </w:t>
      </w:r>
      <w:r w:rsidRPr="00AF026E">
        <w:rPr>
          <w:rFonts w:eastAsia="Calibri"/>
          <w:lang w:eastAsia="en-US"/>
        </w:rPr>
        <w:t>расширило состав расходов, включаемых в сбытовую надбавку, в частности закреплено включение в необходимую валовую выручку расходов на формирование резерва по сомнительным долгам, а также</w:t>
      </w:r>
      <w:r w:rsidRPr="00AF026E">
        <w:rPr>
          <w:rFonts w:ascii="Calibri" w:eastAsia="Calibri" w:hAnsi="Calibri"/>
          <w:lang w:eastAsia="en-US"/>
        </w:rPr>
        <w:t xml:space="preserve"> </w:t>
      </w:r>
      <w:r w:rsidRPr="00AF026E">
        <w:rPr>
          <w:rFonts w:eastAsia="Calibri"/>
          <w:lang w:eastAsia="en-US"/>
        </w:rPr>
        <w:t>расходов на повышение качества обслуживания потребителей электрической энергии.</w:t>
      </w:r>
    </w:p>
    <w:p w:rsidR="00AF026E" w:rsidRPr="00AF026E" w:rsidRDefault="00AF026E" w:rsidP="00AF026E">
      <w:pPr>
        <w:autoSpaceDE w:val="0"/>
        <w:autoSpaceDN w:val="0"/>
        <w:adjustRightInd w:val="0"/>
        <w:jc w:val="center"/>
        <w:outlineLvl w:val="2"/>
        <w:rPr>
          <w:rFonts w:eastAsia="Calibri"/>
          <w:sz w:val="26"/>
          <w:szCs w:val="26"/>
          <w:lang w:eastAsia="en-US"/>
        </w:rPr>
      </w:pPr>
      <w:r w:rsidRPr="00AF026E">
        <w:rPr>
          <w:noProof/>
          <w:szCs w:val="20"/>
        </w:rPr>
        <w:lastRenderedPageBreak/>
        <mc:AlternateContent>
          <mc:Choice Requires="wps">
            <w:drawing>
              <wp:anchor distT="0" distB="0" distL="114300" distR="114300" simplePos="0" relativeHeight="251686912" behindDoc="0" locked="0" layoutInCell="1" allowOverlap="1" wp14:anchorId="6A135A7B" wp14:editId="03831893">
                <wp:simplePos x="0" y="0"/>
                <wp:positionH relativeFrom="column">
                  <wp:posOffset>5590540</wp:posOffset>
                </wp:positionH>
                <wp:positionV relativeFrom="paragraph">
                  <wp:posOffset>13307</wp:posOffset>
                </wp:positionV>
                <wp:extent cx="437322" cy="212090"/>
                <wp:effectExtent l="0" t="0" r="0" b="0"/>
                <wp:wrapNone/>
                <wp:docPr id="10" name="Поле 1"/>
                <wp:cNvGraphicFramePr/>
                <a:graphic xmlns:a="http://schemas.openxmlformats.org/drawingml/2006/main">
                  <a:graphicData uri="http://schemas.microsoft.com/office/word/2010/wordprocessingShape">
                    <wps:wsp>
                      <wps:cNvSpPr txBox="1"/>
                      <wps:spPr>
                        <a:xfrm>
                          <a:off x="0" y="0"/>
                          <a:ext cx="437322" cy="212090"/>
                        </a:xfrm>
                        <a:prstGeom prst="rect">
                          <a:avLst/>
                        </a:prstGeom>
                      </wps:spPr>
                      <wps:txbx>
                        <w:txbxContent>
                          <w:p w:rsidR="00247FEF" w:rsidRDefault="00247FEF" w:rsidP="00AF026E">
                            <w:pPr>
                              <w:pStyle w:val="ac"/>
                              <w:spacing w:before="0" w:beforeAutospacing="0" w:after="0" w:afterAutospacing="0"/>
                            </w:pPr>
                            <w:r w:rsidRPr="00DA5174">
                              <w:rPr>
                                <w:color w:val="FF0000"/>
                                <w:sz w:val="18"/>
                                <w:szCs w:val="18"/>
                              </w:rPr>
                              <w:t>+9,5</w:t>
                            </w:r>
                            <w:r>
                              <w:rPr>
                                <w:color w:val="800080"/>
                                <w:sz w:val="18"/>
                                <w:szCs w:val="18"/>
                              </w:rPr>
                              <w:t>%</w:t>
                            </w:r>
                          </w:p>
                        </w:txbxContent>
                      </wps:txbx>
                      <wps:bodyPr wrap="square" rtlCol="0"/>
                    </wps:wsp>
                  </a:graphicData>
                </a:graphic>
                <wp14:sizeRelH relativeFrom="margin">
                  <wp14:pctWidth>0</wp14:pctWidth>
                </wp14:sizeRelH>
              </wp:anchor>
            </w:drawing>
          </mc:Choice>
          <mc:Fallback>
            <w:pict>
              <v:shape id="Поле 1" o:spid="_x0000_s1030" type="#_x0000_t202" style="position:absolute;left:0;text-align:left;margin-left:440.2pt;margin-top:1.05pt;width:34.45pt;height:16.7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" filled="f" stroked="f">
                <v:textbox>
                  <w:txbxContent>
                    <w:p w:rsidR="00247FEF" w:rsidRDefault="00247FEF" w:rsidP="00AF026E">
                      <w:pPr>
                        <w:pStyle w:val="ac"/>
                        <w:spacing w:before="0" w:beforeAutospacing="0" w:after="0" w:afterAutospacing="0"/>
                      </w:pPr>
                      <w:r w:rsidRPr="00DA5174">
                        <w:rPr>
                          <w:color w:val="FF0000"/>
                          <w:sz w:val="18"/>
                          <w:szCs w:val="18"/>
                        </w:rPr>
                        <w:t>+9,5</w:t>
                      </w:r>
                      <w:r>
                        <w:rPr>
                          <w:color w:val="800080"/>
                          <w:sz w:val="18"/>
                          <w:szCs w:val="18"/>
                        </w:rPr>
                        <w:t>%</w:t>
                      </w:r>
                    </w:p>
                  </w:txbxContent>
                </v:textbox>
              </v:shape>
            </w:pict>
          </mc:Fallback>
        </mc:AlternateContent>
      </w:r>
      <w:r w:rsidRPr="00AF026E">
        <w:rPr>
          <w:noProof/>
          <w:szCs w:val="20"/>
        </w:rPr>
        <mc:AlternateContent>
          <mc:Choice Requires="wps">
            <w:drawing>
              <wp:anchor distT="0" distB="0" distL="114300" distR="114300" simplePos="0" relativeHeight="251685888" behindDoc="0" locked="0" layoutInCell="1" allowOverlap="1" wp14:anchorId="5752647E" wp14:editId="0EE60C3E">
                <wp:simplePos x="0" y="0"/>
                <wp:positionH relativeFrom="column">
                  <wp:posOffset>4388485</wp:posOffset>
                </wp:positionH>
                <wp:positionV relativeFrom="paragraph">
                  <wp:posOffset>10160</wp:posOffset>
                </wp:positionV>
                <wp:extent cx="494030" cy="212090"/>
                <wp:effectExtent l="0" t="0" r="0" b="0"/>
                <wp:wrapNone/>
                <wp:docPr id="9" name="Поле 1"/>
                <wp:cNvGraphicFramePr/>
                <a:graphic xmlns:a="http://schemas.openxmlformats.org/drawingml/2006/main">
                  <a:graphicData uri="http://schemas.microsoft.com/office/word/2010/wordprocessingShape">
                    <wps:wsp>
                      <wps:cNvSpPr txBox="1"/>
                      <wps:spPr>
                        <a:xfrm>
                          <a:off x="0" y="0"/>
                          <a:ext cx="494030" cy="212090"/>
                        </a:xfrm>
                        <a:prstGeom prst="rect">
                          <a:avLst/>
                        </a:prstGeom>
                      </wps:spPr>
                      <wps:txbx>
                        <w:txbxContent>
                          <w:p w:rsidR="00247FEF" w:rsidRPr="00DA5174" w:rsidRDefault="00247FEF" w:rsidP="00AF026E">
                            <w:pPr>
                              <w:pStyle w:val="ac"/>
                              <w:spacing w:before="0" w:beforeAutospacing="0" w:after="0" w:afterAutospacing="0"/>
                              <w:rPr>
                                <w:color w:val="FF0000"/>
                              </w:rPr>
                            </w:pPr>
                            <w:r w:rsidRPr="00DA5174">
                              <w:rPr>
                                <w:color w:val="FF0000"/>
                                <w:sz w:val="18"/>
                                <w:szCs w:val="18"/>
                              </w:rPr>
                              <w:t>+26%</w:t>
                            </w:r>
                          </w:p>
                        </w:txbxContent>
                      </wps:txbx>
                      <wps:bodyPr wrap="square" rtlCol="0"/>
                    </wps:wsp>
                  </a:graphicData>
                </a:graphic>
              </wp:anchor>
            </w:drawing>
          </mc:Choice>
          <mc:Fallback>
            <w:pict>
              <v:shape id="_x0000_s1031" type="#_x0000_t202" style="position:absolute;left:0;text-align:left;margin-left:345.55pt;margin-top:.8pt;width:38.9pt;height:16.7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" filled="f" stroked="f">
                <v:textbox>
                  <w:txbxContent>
                    <w:p w:rsidR="00247FEF" w:rsidRPr="00DA5174" w:rsidRDefault="00247FEF" w:rsidP="00AF026E">
                      <w:pPr>
                        <w:pStyle w:val="ac"/>
                        <w:spacing w:before="0" w:beforeAutospacing="0" w:after="0" w:afterAutospacing="0"/>
                        <w:rPr>
                          <w:color w:val="FF0000"/>
                        </w:rPr>
                      </w:pPr>
                      <w:r w:rsidRPr="00DA5174">
                        <w:rPr>
                          <w:color w:val="FF0000"/>
                          <w:sz w:val="18"/>
                          <w:szCs w:val="18"/>
                        </w:rPr>
                        <w:t>+26%</w:t>
                      </w:r>
                    </w:p>
                  </w:txbxContent>
                </v:textbox>
              </v:shape>
            </w:pict>
          </mc:Fallback>
        </mc:AlternateContent>
      </w:r>
      <w:r w:rsidRPr="00AF026E">
        <w:rPr>
          <w:noProof/>
          <w:szCs w:val="20"/>
        </w:rPr>
        <mc:AlternateContent>
          <mc:Choice Requires="wps">
            <w:drawing>
              <wp:anchor distT="0" distB="0" distL="114300" distR="114300" simplePos="0" relativeHeight="251684864" behindDoc="0" locked="0" layoutInCell="1" allowOverlap="1" wp14:anchorId="2A707187" wp14:editId="36C01B10">
                <wp:simplePos x="0" y="0"/>
                <wp:positionH relativeFrom="column">
                  <wp:posOffset>4382218</wp:posOffset>
                </wp:positionH>
                <wp:positionV relativeFrom="paragraph">
                  <wp:posOffset>147817</wp:posOffset>
                </wp:positionV>
                <wp:extent cx="499110" cy="244475"/>
                <wp:effectExtent l="0" t="0" r="0" b="0"/>
                <wp:wrapNone/>
                <wp:docPr id="2" name="Поле 1"/>
                <wp:cNvGraphicFramePr/>
                <a:graphic xmlns:a="http://schemas.openxmlformats.org/drawingml/2006/main">
                  <a:graphicData uri="http://schemas.microsoft.com/office/word/2010/wordprocessingShape">
                    <wps:wsp>
                      <wps:cNvSpPr txBox="1"/>
                      <wps:spPr>
                        <a:xfrm>
                          <a:off x="0" y="0"/>
                          <a:ext cx="499110" cy="244475"/>
                        </a:xfrm>
                        <a:prstGeom prst="rect">
                          <a:avLst/>
                        </a:prstGeom>
                      </wps:spPr>
                      <wps:txbx>
                        <w:txbxContent>
                          <w:p w:rsidR="00247FEF" w:rsidRDefault="00247FEF" w:rsidP="00AF026E">
                            <w:pPr>
                              <w:pStyle w:val="ac"/>
                              <w:spacing w:before="0" w:beforeAutospacing="0" w:after="0" w:afterAutospacing="0"/>
                            </w:pPr>
                            <w:r>
                              <w:rPr>
                                <w:b/>
                                <w:bCs/>
                                <w:sz w:val="22"/>
                                <w:szCs w:val="22"/>
                              </w:rPr>
                              <w:t>3 646</w:t>
                            </w:r>
                          </w:p>
                        </w:txbxContent>
                      </wps:txbx>
                      <wps:bodyPr wrap="square" rtlCol="0"/>
                    </wps:wsp>
                  </a:graphicData>
                </a:graphic>
              </wp:anchor>
            </w:drawing>
          </mc:Choice>
          <mc:Fallback>
            <w:pict>
              <v:shape id="_x0000_s1032" type="#_x0000_t202" style="position:absolute;left:0;text-align:left;margin-left:345.05pt;margin-top:11.65pt;width:39.3pt;height:19.2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" filled="f" stroked="f">
                <v:textbox>
                  <w:txbxContent>
                    <w:p w:rsidR="00247FEF" w:rsidRDefault="00247FEF" w:rsidP="00AF026E">
                      <w:pPr>
                        <w:pStyle w:val="ac"/>
                        <w:spacing w:before="0" w:beforeAutospacing="0" w:after="0" w:afterAutospacing="0"/>
                      </w:pPr>
                      <w:r>
                        <w:rPr>
                          <w:b/>
                          <w:bCs/>
                          <w:sz w:val="22"/>
                          <w:szCs w:val="22"/>
                        </w:rPr>
                        <w:t>3 646</w:t>
                      </w:r>
                    </w:p>
                  </w:txbxContent>
                </v:textbox>
              </v:shape>
            </w:pict>
          </mc:Fallback>
        </mc:AlternateContent>
      </w:r>
      <w:r w:rsidRPr="00AF026E">
        <w:rPr>
          <w:rFonts w:eastAsia="Calibri"/>
          <w:noProof/>
          <w:sz w:val="26"/>
          <w:szCs w:val="26"/>
        </w:rPr>
        <w:drawing>
          <wp:inline distT="0" distB="0" distL="0" distR="0" wp14:anchorId="02DB188C" wp14:editId="2A495D45">
            <wp:extent cx="5948030" cy="3370521"/>
            <wp:effectExtent l="0" t="0" r="15240" b="20955"/>
            <wp:docPr id="11" name="Диаграмма 1" descr="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F026E" w:rsidRPr="00AF026E" w:rsidRDefault="00AF026E" w:rsidP="00AF026E">
      <w:pPr>
        <w:autoSpaceDE w:val="0"/>
        <w:autoSpaceDN w:val="0"/>
        <w:adjustRightInd w:val="0"/>
        <w:spacing w:after="200"/>
        <w:jc w:val="center"/>
        <w:outlineLvl w:val="2"/>
        <w:rPr>
          <w:rFonts w:eastAsia="Calibri"/>
          <w:b/>
          <w:lang w:eastAsia="en-US"/>
        </w:rPr>
      </w:pPr>
      <w:r w:rsidRPr="00AF026E">
        <w:rPr>
          <w:rFonts w:eastAsia="Calibri"/>
          <w:b/>
          <w:lang w:eastAsia="en-US"/>
        </w:rPr>
        <w:t>Диаграмма.</w:t>
      </w:r>
      <w:r w:rsidRPr="00AF026E">
        <w:rPr>
          <w:rFonts w:eastAsia="Calibri"/>
          <w:b/>
          <w:bCs/>
          <w:lang w:eastAsia="en-US"/>
        </w:rPr>
        <w:t xml:space="preserve"> </w:t>
      </w:r>
      <w:r w:rsidRPr="00AF026E">
        <w:rPr>
          <w:rFonts w:eastAsia="Calibri"/>
          <w:b/>
          <w:lang w:eastAsia="en-US"/>
        </w:rPr>
        <w:t xml:space="preserve"> Динамика структуры необходимой валовой выручки ГП ОАО «Каббалкэнерго»</w:t>
      </w:r>
    </w:p>
    <w:p w:rsidR="00AF026E" w:rsidRDefault="00AF026E" w:rsidP="00AF026E">
      <w:pPr>
        <w:ind w:firstLine="709"/>
        <w:jc w:val="both"/>
      </w:pPr>
      <w:r w:rsidRPr="00AF026E">
        <w:t>Динамика структуры необходимой валовой выручки Общества показывает, что в 2014 году выручка от продажи электроэнергии конечным потребителям и сетевым компаниям на компенсацию потерь по сравнению с 2013 годом увеличилась на 745 млн. руб. или на 26%, в том числе услуги сетевых компаний по передаче электроэнергии – на 470 млн. руб. или на 33%, стоимость покупной электроэнергии и мощности – на 255,6 млн. руб. или на 23%, необходимая валовая выручка Общества – на 103 млн. руб. или на 36%.</w:t>
      </w:r>
    </w:p>
    <w:p w:rsidR="00EB0A89" w:rsidRDefault="00EB0A89" w:rsidP="00AF026E">
      <w:pPr>
        <w:ind w:firstLine="709"/>
        <w:jc w:val="both"/>
      </w:pPr>
    </w:p>
    <w:p w:rsidR="00EB0A89" w:rsidRPr="00EB0A89" w:rsidRDefault="00EB0A89" w:rsidP="00EB0A89">
      <w:pPr>
        <w:keepNext/>
        <w:spacing w:line="360" w:lineRule="auto"/>
        <w:jc w:val="center"/>
        <w:outlineLvl w:val="0"/>
        <w:rPr>
          <w:b/>
          <w:szCs w:val="20"/>
        </w:rPr>
      </w:pPr>
      <w:bookmarkStart w:id="5" w:name="_Toc321485383"/>
      <w:r w:rsidRPr="00EB0A89">
        <w:rPr>
          <w:b/>
          <w:szCs w:val="20"/>
        </w:rPr>
        <w:t>Ресурсосбережение и энергоэффективность</w:t>
      </w:r>
      <w:bookmarkEnd w:id="5"/>
    </w:p>
    <w:p w:rsidR="00EB0A89" w:rsidRPr="00EB0A89" w:rsidRDefault="00EB0A89" w:rsidP="00EB0A89">
      <w:pPr>
        <w:jc w:val="center"/>
        <w:rPr>
          <w:color w:val="000000"/>
        </w:rPr>
      </w:pPr>
      <w:r w:rsidRPr="00EB0A89">
        <w:rPr>
          <w:color w:val="000000"/>
        </w:rPr>
        <w:t xml:space="preserve">Реализация в 2014 году программы "Мероприятий  по энергосбережению и повышению энергетической эффективности  ОАО "Каббалкэнерго" </w:t>
      </w:r>
    </w:p>
    <w:p w:rsidR="00EB0A89" w:rsidRPr="00EB0A89" w:rsidRDefault="00EB0A89" w:rsidP="00EB0A89">
      <w:pPr>
        <w:jc w:val="center"/>
        <w:rPr>
          <w:color w:val="FF0000"/>
        </w:rPr>
      </w:pPr>
    </w:p>
    <w:tbl>
      <w:tblPr>
        <w:tblW w:w="9510" w:type="dxa"/>
        <w:tblInd w:w="103" w:type="dxa"/>
        <w:tblLayout w:type="fixed"/>
        <w:tblLook w:val="04A0" w:firstRow="1" w:lastRow="0" w:firstColumn="1" w:lastColumn="0" w:noHBand="0" w:noVBand="1"/>
      </w:tblPr>
      <w:tblGrid>
        <w:gridCol w:w="922"/>
        <w:gridCol w:w="4029"/>
        <w:gridCol w:w="1082"/>
        <w:gridCol w:w="1348"/>
        <w:gridCol w:w="873"/>
        <w:gridCol w:w="1256"/>
      </w:tblGrid>
      <w:tr w:rsidR="00EB0A89" w:rsidRPr="00EB0A89" w:rsidTr="00EB0A89">
        <w:trPr>
          <w:trHeight w:val="315"/>
        </w:trPr>
        <w:tc>
          <w:tcPr>
            <w:tcW w:w="922" w:type="dxa"/>
            <w:vMerge w:val="restart"/>
            <w:tcBorders>
              <w:top w:val="single" w:sz="4" w:space="0" w:color="auto"/>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п/п</w:t>
            </w:r>
          </w:p>
        </w:tc>
        <w:tc>
          <w:tcPr>
            <w:tcW w:w="8581" w:type="dxa"/>
            <w:gridSpan w:val="5"/>
            <w:tcBorders>
              <w:top w:val="single" w:sz="4" w:space="0" w:color="auto"/>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Расчетные показатели предлагаемых к реализации энергосберегающих мероприятий</w:t>
            </w:r>
          </w:p>
        </w:tc>
      </w:tr>
      <w:tr w:rsidR="00EB0A89" w:rsidRPr="00EB0A89" w:rsidTr="00EB0A89">
        <w:trPr>
          <w:trHeight w:val="705"/>
        </w:trPr>
        <w:tc>
          <w:tcPr>
            <w:tcW w:w="922" w:type="dxa"/>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color w:val="000000"/>
                <w:sz w:val="18"/>
                <w:szCs w:val="18"/>
                <w:lang w:eastAsia="en-US"/>
              </w:rPr>
            </w:pPr>
          </w:p>
        </w:tc>
        <w:tc>
          <w:tcPr>
            <w:tcW w:w="4026" w:type="dxa"/>
            <w:vMerge w:val="restart"/>
            <w:tcBorders>
              <w:top w:val="nil"/>
              <w:left w:val="single" w:sz="4" w:space="0" w:color="auto"/>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Наименование мероприятий по видам энергоических ресурсов</w:t>
            </w:r>
          </w:p>
        </w:tc>
        <w:tc>
          <w:tcPr>
            <w:tcW w:w="1081"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Затраты</w:t>
            </w:r>
          </w:p>
        </w:tc>
        <w:tc>
          <w:tcPr>
            <w:tcW w:w="3474" w:type="dxa"/>
            <w:gridSpan w:val="3"/>
            <w:tcBorders>
              <w:top w:val="single" w:sz="4" w:space="0" w:color="auto"/>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 xml:space="preserve">Годовая экономия ТЭР </w:t>
            </w:r>
          </w:p>
        </w:tc>
      </w:tr>
      <w:tr w:rsidR="00EB0A89" w:rsidRPr="00EB0A89" w:rsidTr="00EB0A89">
        <w:trPr>
          <w:trHeight w:val="1215"/>
        </w:trPr>
        <w:tc>
          <w:tcPr>
            <w:tcW w:w="922" w:type="dxa"/>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color w:val="000000"/>
                <w:sz w:val="18"/>
                <w:szCs w:val="18"/>
                <w:lang w:eastAsia="en-US"/>
              </w:rPr>
            </w:pPr>
          </w:p>
        </w:tc>
        <w:tc>
          <w:tcPr>
            <w:tcW w:w="8581" w:type="dxa"/>
            <w:vMerge/>
            <w:tcBorders>
              <w:top w:val="nil"/>
              <w:left w:val="single" w:sz="4" w:space="0" w:color="auto"/>
              <w:bottom w:val="single" w:sz="4" w:space="0" w:color="auto"/>
              <w:right w:val="single" w:sz="4" w:space="0" w:color="auto"/>
            </w:tcBorders>
            <w:vAlign w:val="center"/>
            <w:hideMark/>
          </w:tcPr>
          <w:p w:rsidR="00EB0A89" w:rsidRPr="00EB0A89" w:rsidRDefault="00EB0A89" w:rsidP="00EB0A89">
            <w:pPr>
              <w:rPr>
                <w:color w:val="000000"/>
                <w:sz w:val="18"/>
                <w:szCs w:val="18"/>
                <w:lang w:eastAsia="en-US"/>
              </w:rPr>
            </w:pPr>
          </w:p>
        </w:tc>
        <w:tc>
          <w:tcPr>
            <w:tcW w:w="1081"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 xml:space="preserve">тыс. руб. </w:t>
            </w:r>
          </w:p>
        </w:tc>
        <w:tc>
          <w:tcPr>
            <w:tcW w:w="1347"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в натуральном выражении</w:t>
            </w:r>
          </w:p>
        </w:tc>
        <w:tc>
          <w:tcPr>
            <w:tcW w:w="872"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ед. измерения</w:t>
            </w:r>
          </w:p>
        </w:tc>
        <w:tc>
          <w:tcPr>
            <w:tcW w:w="1255"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в стоимостном выражении (тыс.руб.)</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1</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электрической энергии</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318,9</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117,5</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тыс. кВт.ч</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414,9</w:t>
            </w:r>
          </w:p>
        </w:tc>
      </w:tr>
      <w:tr w:rsidR="00EB0A89" w:rsidRPr="00EB0A89" w:rsidTr="00EB0A89">
        <w:trPr>
          <w:trHeight w:val="97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Arial" w:hAnsi="Arial" w:cs="Arial"/>
                <w:color w:val="000000"/>
                <w:sz w:val="20"/>
                <w:szCs w:val="20"/>
                <w:lang w:eastAsia="en-US"/>
              </w:rPr>
            </w:pPr>
            <w:r w:rsidRPr="00EB0A89">
              <w:rPr>
                <w:rFonts w:ascii="Arial" w:hAnsi="Arial" w:cs="Arial"/>
                <w:color w:val="000000"/>
                <w:sz w:val="20"/>
                <w:szCs w:val="20"/>
                <w:lang w:eastAsia="en-US"/>
              </w:rPr>
              <w:t> </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Мероприятия по сбережению электроэнергии организационного характера, в частности контроль за своевременным отключением осветительного оборудования, офисной и бытовой техники</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тыс. кВт.ч</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540"/>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Arial" w:hAnsi="Arial" w:cs="Arial"/>
                <w:color w:val="000000"/>
                <w:sz w:val="20"/>
                <w:szCs w:val="20"/>
                <w:lang w:eastAsia="en-US"/>
              </w:rPr>
            </w:pPr>
            <w:r w:rsidRPr="00EB0A89">
              <w:rPr>
                <w:rFonts w:ascii="Arial" w:hAnsi="Arial" w:cs="Arial"/>
                <w:color w:val="000000"/>
                <w:sz w:val="20"/>
                <w:szCs w:val="20"/>
                <w:lang w:eastAsia="en-US"/>
              </w:rPr>
              <w:t> </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Замена люминесцентных светильников на светодиодные</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318,9</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117,54</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тыс. кВт.ч</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414,9</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2</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тепловой энергии</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Гкал</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49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Arial" w:hAnsi="Arial" w:cs="Arial"/>
                <w:color w:val="000000"/>
                <w:sz w:val="16"/>
                <w:szCs w:val="16"/>
                <w:lang w:eastAsia="en-US"/>
              </w:rPr>
            </w:pPr>
            <w:r w:rsidRPr="00EB0A89">
              <w:rPr>
                <w:rFonts w:ascii="Arial" w:hAnsi="Arial" w:cs="Arial"/>
                <w:color w:val="000000"/>
                <w:sz w:val="16"/>
                <w:szCs w:val="16"/>
                <w:lang w:eastAsia="en-US"/>
              </w:rPr>
              <w:lastRenderedPageBreak/>
              <w:t>2.1.</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Система автоматического регулирования подачи теплоносителя в систему теплоснабжения</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Гкал</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4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3</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твердому топливу</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Arial Narrow" w:hAnsi="Arial Narrow" w:cs="Calibri"/>
                <w:i/>
                <w:iCs/>
                <w:color w:val="000000"/>
                <w:sz w:val="22"/>
                <w:szCs w:val="22"/>
                <w:lang w:eastAsia="en-US"/>
              </w:rPr>
            </w:pPr>
            <w:r w:rsidRPr="00EB0A89">
              <w:rPr>
                <w:rFonts w:ascii="Arial Narrow" w:hAnsi="Arial Narrow" w:cs="Calibri"/>
                <w:i/>
                <w:iCs/>
                <w:color w:val="000000"/>
                <w:sz w:val="22"/>
                <w:szCs w:val="22"/>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4</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жидкому топливу</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Franklin Gothic Demi" w:hAnsi="Franklin Gothic Demi" w:cs="Calibri"/>
                <w:color w:val="000000"/>
                <w:sz w:val="20"/>
                <w:szCs w:val="20"/>
                <w:lang w:eastAsia="en-US"/>
              </w:rPr>
            </w:pPr>
            <w:r w:rsidRPr="00EB0A89">
              <w:rPr>
                <w:rFonts w:ascii="Franklin Gothic Demi" w:hAnsi="Franklin Gothic Demi" w:cs="Calibri"/>
                <w:color w:val="000000"/>
                <w:sz w:val="20"/>
                <w:szCs w:val="20"/>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5</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моторным топливам, в том числе</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тыс. л</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5.1.</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ind w:firstLineChars="200" w:firstLine="360"/>
              <w:rPr>
                <w:color w:val="000000"/>
                <w:sz w:val="18"/>
                <w:szCs w:val="18"/>
                <w:lang w:eastAsia="en-US"/>
              </w:rPr>
            </w:pPr>
            <w:r w:rsidRPr="00EB0A89">
              <w:rPr>
                <w:color w:val="000000"/>
                <w:sz w:val="18"/>
                <w:szCs w:val="18"/>
                <w:lang w:eastAsia="en-US"/>
              </w:rPr>
              <w:t>бензин</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тыс. л</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49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rFonts w:ascii="Arial" w:hAnsi="Arial" w:cs="Arial"/>
                <w:color w:val="000000"/>
                <w:sz w:val="20"/>
                <w:szCs w:val="20"/>
                <w:lang w:eastAsia="en-US"/>
              </w:rPr>
            </w:pPr>
            <w:r w:rsidRPr="00EB0A89">
              <w:rPr>
                <w:rFonts w:ascii="Arial" w:hAnsi="Arial" w:cs="Arial"/>
                <w:color w:val="000000"/>
                <w:sz w:val="20"/>
                <w:szCs w:val="20"/>
                <w:lang w:eastAsia="en-US"/>
              </w:rPr>
              <w:t> </w:t>
            </w:r>
          </w:p>
        </w:tc>
        <w:tc>
          <w:tcPr>
            <w:tcW w:w="4026" w:type="dxa"/>
            <w:tcBorders>
              <w:top w:val="nil"/>
              <w:left w:val="nil"/>
              <w:bottom w:val="single" w:sz="4" w:space="0" w:color="auto"/>
              <w:right w:val="single" w:sz="4" w:space="0" w:color="auto"/>
            </w:tcBorders>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Установка системы мониторинга и позиционирования автотранспорта</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л</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6</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природному газу</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7</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По воде</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w:t>
            </w:r>
          </w:p>
        </w:tc>
      </w:tr>
      <w:tr w:rsidR="00EB0A89" w:rsidRPr="00EB0A89" w:rsidTr="00EB0A89">
        <w:trPr>
          <w:trHeight w:val="315"/>
        </w:trPr>
        <w:tc>
          <w:tcPr>
            <w:tcW w:w="922" w:type="dxa"/>
            <w:tcBorders>
              <w:top w:val="nil"/>
              <w:left w:val="single" w:sz="4" w:space="0" w:color="auto"/>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8</w:t>
            </w:r>
          </w:p>
        </w:tc>
        <w:tc>
          <w:tcPr>
            <w:tcW w:w="4026"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rPr>
                <w:color w:val="000000"/>
                <w:sz w:val="18"/>
                <w:szCs w:val="18"/>
                <w:lang w:eastAsia="en-US"/>
              </w:rPr>
            </w:pPr>
            <w:r w:rsidRPr="00EB0A89">
              <w:rPr>
                <w:color w:val="000000"/>
                <w:sz w:val="18"/>
                <w:szCs w:val="18"/>
                <w:lang w:eastAsia="en-US"/>
              </w:rPr>
              <w:t>ИТОГО:</w:t>
            </w:r>
          </w:p>
        </w:tc>
        <w:tc>
          <w:tcPr>
            <w:tcW w:w="1081"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318,85</w:t>
            </w:r>
          </w:p>
        </w:tc>
        <w:tc>
          <w:tcPr>
            <w:tcW w:w="1347"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117,54</w:t>
            </w:r>
          </w:p>
        </w:tc>
        <w:tc>
          <w:tcPr>
            <w:tcW w:w="872"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т у.т.</w:t>
            </w:r>
          </w:p>
        </w:tc>
        <w:tc>
          <w:tcPr>
            <w:tcW w:w="1255" w:type="dxa"/>
            <w:tcBorders>
              <w:top w:val="nil"/>
              <w:left w:val="nil"/>
              <w:bottom w:val="single" w:sz="4" w:space="0" w:color="auto"/>
              <w:right w:val="single" w:sz="4" w:space="0" w:color="auto"/>
            </w:tcBorders>
            <w:noWrap/>
            <w:vAlign w:val="center"/>
            <w:hideMark/>
          </w:tcPr>
          <w:p w:rsidR="00EB0A89" w:rsidRPr="00EB0A89" w:rsidRDefault="00EB0A89" w:rsidP="00EB0A89">
            <w:pPr>
              <w:spacing w:line="276" w:lineRule="auto"/>
              <w:jc w:val="center"/>
              <w:rPr>
                <w:color w:val="000000"/>
                <w:sz w:val="18"/>
                <w:szCs w:val="18"/>
                <w:lang w:eastAsia="en-US"/>
              </w:rPr>
            </w:pPr>
            <w:r w:rsidRPr="00EB0A89">
              <w:rPr>
                <w:color w:val="000000"/>
                <w:sz w:val="18"/>
                <w:szCs w:val="18"/>
                <w:lang w:eastAsia="en-US"/>
              </w:rPr>
              <w:t>414,90</w:t>
            </w:r>
          </w:p>
        </w:tc>
      </w:tr>
    </w:tbl>
    <w:p w:rsidR="00EB0A89" w:rsidRPr="00EB0A89" w:rsidRDefault="00EB0A89" w:rsidP="00EB0A89">
      <w:pPr>
        <w:suppressAutoHyphens/>
        <w:snapToGrid w:val="0"/>
        <w:rPr>
          <w:b/>
          <w:lang w:eastAsia="ar-SA"/>
        </w:rPr>
      </w:pPr>
    </w:p>
    <w:p w:rsidR="00EB0A89" w:rsidRPr="00EB0A89" w:rsidRDefault="00EB0A89" w:rsidP="00EB0A89">
      <w:pPr>
        <w:suppressAutoHyphens/>
        <w:snapToGrid w:val="0"/>
        <w:jc w:val="center"/>
        <w:rPr>
          <w:b/>
          <w:lang w:eastAsia="ar-SA"/>
        </w:rPr>
      </w:pPr>
      <w:r w:rsidRPr="00EB0A89">
        <w:rPr>
          <w:b/>
          <w:lang w:eastAsia="ar-SA"/>
        </w:rPr>
        <w:t>Информация об объеме энергоресурсов,</w:t>
      </w:r>
    </w:p>
    <w:p w:rsidR="00EB0A89" w:rsidRPr="00EB0A89" w:rsidRDefault="00EB0A89" w:rsidP="00EB0A89">
      <w:pPr>
        <w:suppressAutoHyphens/>
        <w:snapToGrid w:val="0"/>
        <w:jc w:val="center"/>
        <w:rPr>
          <w:b/>
          <w:lang w:eastAsia="ar-SA"/>
        </w:rPr>
      </w:pPr>
      <w:r w:rsidRPr="00EB0A89">
        <w:rPr>
          <w:b/>
          <w:lang w:eastAsia="ar-SA"/>
        </w:rPr>
        <w:t>потребленных ОАО «Каббалкэнерго» в 2014 году</w:t>
      </w:r>
    </w:p>
    <w:p w:rsidR="00EB0A89" w:rsidRPr="00EB0A89" w:rsidRDefault="00EB0A89" w:rsidP="00EB0A89">
      <w:pPr>
        <w:suppressAutoHyphens/>
        <w:snapToGrid w:val="0"/>
        <w:jc w:val="center"/>
        <w:rPr>
          <w:b/>
          <w:lang w:eastAsia="ar-S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5"/>
        <w:gridCol w:w="3552"/>
        <w:gridCol w:w="2496"/>
      </w:tblGrid>
      <w:tr w:rsidR="00EB0A89" w:rsidRPr="00EB0A89" w:rsidTr="00EB0A89">
        <w:trPr>
          <w:trHeight w:val="481"/>
          <w:jc w:val="center"/>
        </w:trPr>
        <w:tc>
          <w:tcPr>
            <w:tcW w:w="1874"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Наименование</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Единицы измерения</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Объем потребления</w:t>
            </w:r>
          </w:p>
        </w:tc>
      </w:tr>
      <w:tr w:rsidR="00EB0A89" w:rsidRPr="00EB0A89" w:rsidTr="00EB0A89">
        <w:trPr>
          <w:trHeight w:val="240"/>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rPr>
                <w:bCs/>
                <w:sz w:val="22"/>
                <w:szCs w:val="22"/>
                <w:lang w:eastAsia="ar-SA"/>
              </w:rPr>
            </w:pPr>
            <w:r w:rsidRPr="00EB0A89">
              <w:rPr>
                <w:bCs/>
                <w:sz w:val="22"/>
                <w:szCs w:val="22"/>
                <w:lang w:eastAsia="ar-SA"/>
              </w:rPr>
              <w:t>Атомная энергия</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0</w:t>
            </w:r>
          </w:p>
        </w:tc>
      </w:tr>
      <w:tr w:rsidR="00EB0A89" w:rsidRPr="00EB0A89" w:rsidTr="00EB0A89">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bCs/>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i/>
                <w:sz w:val="22"/>
                <w:szCs w:val="22"/>
                <w:lang w:eastAsia="ar-SA"/>
              </w:rPr>
            </w:pPr>
            <w:r w:rsidRPr="00EB0A89">
              <w:rPr>
                <w:bCs/>
                <w:i/>
                <w:sz w:val="22"/>
                <w:szCs w:val="22"/>
                <w:lang w:eastAsia="ar-SA"/>
              </w:rPr>
              <w:t>тыс. кВт/ч</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0</w:t>
            </w:r>
          </w:p>
        </w:tc>
      </w:tr>
      <w:tr w:rsidR="00EB0A89" w:rsidRPr="00EB0A89" w:rsidTr="00EB0A89">
        <w:trPr>
          <w:trHeight w:val="736"/>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rPr>
                <w:bCs/>
                <w:sz w:val="22"/>
                <w:szCs w:val="22"/>
                <w:lang w:eastAsia="ar-SA"/>
              </w:rPr>
            </w:pPr>
            <w:r w:rsidRPr="00EB0A89">
              <w:rPr>
                <w:bCs/>
                <w:sz w:val="22"/>
                <w:szCs w:val="22"/>
                <w:lang w:eastAsia="ar-SA"/>
              </w:rPr>
              <w:t>Тепловая энергия</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tcPr>
          <w:p w:rsidR="00EB0A89" w:rsidRPr="00EB0A89" w:rsidRDefault="00EB0A89" w:rsidP="00EB0A89">
            <w:pPr>
              <w:suppressAutoHyphens/>
              <w:snapToGrid w:val="0"/>
              <w:spacing w:line="276" w:lineRule="auto"/>
              <w:jc w:val="center"/>
              <w:rPr>
                <w:bCs/>
                <w:color w:val="FF0000"/>
                <w:sz w:val="22"/>
                <w:szCs w:val="22"/>
                <w:lang w:eastAsia="ar-SA"/>
              </w:rPr>
            </w:pPr>
          </w:p>
          <w:p w:rsidR="00EB0A89" w:rsidRPr="00EB0A89" w:rsidRDefault="00EB0A89" w:rsidP="00EB0A89">
            <w:pPr>
              <w:spacing w:line="276" w:lineRule="auto"/>
              <w:jc w:val="center"/>
              <w:rPr>
                <w:bCs/>
                <w:color w:val="FF0000"/>
                <w:sz w:val="22"/>
                <w:szCs w:val="22"/>
                <w:lang w:eastAsia="ar-SA"/>
              </w:rPr>
            </w:pPr>
            <w:r w:rsidRPr="00EB0A89">
              <w:rPr>
                <w:bCs/>
                <w:sz w:val="22"/>
                <w:szCs w:val="22"/>
                <w:lang w:eastAsia="ar-SA"/>
              </w:rPr>
              <w:t>471,4</w:t>
            </w:r>
          </w:p>
        </w:tc>
      </w:tr>
      <w:tr w:rsidR="00EB0A89" w:rsidRPr="00EB0A89" w:rsidTr="00EB0A89">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bCs/>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Гкал</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214,85</w:t>
            </w:r>
          </w:p>
        </w:tc>
      </w:tr>
      <w:tr w:rsidR="00EB0A89" w:rsidRPr="00EB0A89" w:rsidTr="00EB0A89">
        <w:trPr>
          <w:trHeight w:val="240"/>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rPr>
                <w:bCs/>
                <w:sz w:val="22"/>
                <w:szCs w:val="22"/>
                <w:lang w:eastAsia="ar-SA"/>
              </w:rPr>
            </w:pPr>
            <w:r w:rsidRPr="00EB0A89">
              <w:rPr>
                <w:bCs/>
                <w:sz w:val="22"/>
                <w:szCs w:val="22"/>
                <w:lang w:eastAsia="ar-SA"/>
              </w:rPr>
              <w:t>Электрическая энергия</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785,4</w:t>
            </w:r>
          </w:p>
        </w:tc>
      </w:tr>
      <w:tr w:rsidR="00EB0A89" w:rsidRPr="00EB0A89" w:rsidTr="00EB0A89">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bCs/>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тыс. кВт/ч</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159,61</w:t>
            </w:r>
          </w:p>
        </w:tc>
      </w:tr>
      <w:tr w:rsidR="00EB0A89" w:rsidRPr="00EB0A89" w:rsidTr="00EB0A89">
        <w:trPr>
          <w:trHeight w:val="240"/>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rPr>
                <w:bCs/>
                <w:sz w:val="22"/>
                <w:szCs w:val="22"/>
                <w:lang w:eastAsia="ar-SA"/>
              </w:rPr>
            </w:pPr>
            <w:r w:rsidRPr="00EB0A89">
              <w:rPr>
                <w:bCs/>
                <w:sz w:val="22"/>
                <w:szCs w:val="22"/>
                <w:lang w:eastAsia="ar-SA"/>
              </w:rPr>
              <w:t>Электромагнитная энергия</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0</w:t>
            </w:r>
          </w:p>
        </w:tc>
      </w:tr>
      <w:tr w:rsidR="00EB0A89" w:rsidRPr="00EB0A89" w:rsidTr="00EB0A89">
        <w:trPr>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bCs/>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Нефть</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color w:val="FF0000"/>
                <w:sz w:val="22"/>
                <w:szCs w:val="22"/>
                <w:lang w:eastAsia="ar-SA"/>
              </w:rPr>
            </w:pPr>
            <w:r w:rsidRPr="00EB0A89">
              <w:rPr>
                <w:bCs/>
                <w:i/>
                <w:sz w:val="22"/>
                <w:szCs w:val="22"/>
                <w:lang w:eastAsia="ar-SA"/>
              </w:rPr>
              <w:t>-</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Бензин автомобильный</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6328,1</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литров</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191,25</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Топливо дизельное</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литров</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Мазут топочный</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тонн</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Газ естественный (природный)</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82,5</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тыс. м3</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14,4</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 xml:space="preserve">Уголь </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тонн</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Горючие сланцы</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тонн</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vMerge w:val="restar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 xml:space="preserve">Торф </w:t>
            </w: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sz w:val="22"/>
                <w:szCs w:val="22"/>
                <w:lang w:eastAsia="ar-SA"/>
              </w:rPr>
              <w:t>тыс. руб. с учетом НДС</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rPr>
                <w:sz w:val="22"/>
                <w:szCs w:val="22"/>
                <w:lang w:eastAsia="ar-SA"/>
              </w:rPr>
            </w:pPr>
          </w:p>
        </w:tc>
        <w:tc>
          <w:tcPr>
            <w:tcW w:w="1836"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bCs/>
                <w:sz w:val="22"/>
                <w:szCs w:val="22"/>
                <w:lang w:eastAsia="ar-SA"/>
              </w:rPr>
            </w:pPr>
            <w:r w:rsidRPr="00EB0A89">
              <w:rPr>
                <w:bCs/>
                <w:i/>
                <w:sz w:val="22"/>
                <w:szCs w:val="22"/>
                <w:lang w:eastAsia="ar-SA"/>
              </w:rPr>
              <w:t>тонн</w:t>
            </w: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r w:rsidR="00EB0A89" w:rsidRPr="00EB0A89" w:rsidTr="00EB0A89">
        <w:trPr>
          <w:cantSplit/>
          <w:jc w:val="center"/>
        </w:trPr>
        <w:tc>
          <w:tcPr>
            <w:tcW w:w="1874"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pacing w:line="276" w:lineRule="auto"/>
              <w:rPr>
                <w:sz w:val="22"/>
                <w:szCs w:val="22"/>
                <w:lang w:eastAsia="ar-SA"/>
              </w:rPr>
            </w:pPr>
            <w:r w:rsidRPr="00EB0A89">
              <w:rPr>
                <w:sz w:val="22"/>
                <w:szCs w:val="22"/>
                <w:lang w:eastAsia="ar-SA"/>
              </w:rPr>
              <w:t>Другое</w:t>
            </w:r>
          </w:p>
        </w:tc>
        <w:tc>
          <w:tcPr>
            <w:tcW w:w="1836" w:type="pct"/>
            <w:tcBorders>
              <w:top w:val="single" w:sz="4" w:space="0" w:color="auto"/>
              <w:left w:val="single" w:sz="4" w:space="0" w:color="auto"/>
              <w:bottom w:val="single" w:sz="4" w:space="0" w:color="auto"/>
              <w:right w:val="single" w:sz="4" w:space="0" w:color="auto"/>
            </w:tcBorders>
            <w:vAlign w:val="center"/>
          </w:tcPr>
          <w:p w:rsidR="00EB0A89" w:rsidRPr="00EB0A89" w:rsidRDefault="00EB0A89" w:rsidP="00EB0A89">
            <w:pPr>
              <w:suppressAutoHyphens/>
              <w:snapToGrid w:val="0"/>
              <w:spacing w:line="276" w:lineRule="auto"/>
              <w:jc w:val="center"/>
              <w:rPr>
                <w:bCs/>
                <w:sz w:val="22"/>
                <w:szCs w:val="22"/>
                <w:lang w:eastAsia="ar-SA"/>
              </w:rPr>
            </w:pPr>
          </w:p>
        </w:tc>
        <w:tc>
          <w:tcPr>
            <w:tcW w:w="1291" w:type="pct"/>
            <w:tcBorders>
              <w:top w:val="single" w:sz="4" w:space="0" w:color="auto"/>
              <w:left w:val="single" w:sz="4" w:space="0" w:color="auto"/>
              <w:bottom w:val="single" w:sz="4" w:space="0" w:color="auto"/>
              <w:right w:val="single" w:sz="4" w:space="0" w:color="auto"/>
            </w:tcBorders>
            <w:vAlign w:val="center"/>
            <w:hideMark/>
          </w:tcPr>
          <w:p w:rsidR="00EB0A89" w:rsidRPr="00EB0A89" w:rsidRDefault="00EB0A89" w:rsidP="00EB0A89">
            <w:pPr>
              <w:suppressAutoHyphens/>
              <w:snapToGrid w:val="0"/>
              <w:spacing w:line="276" w:lineRule="auto"/>
              <w:jc w:val="center"/>
              <w:rPr>
                <w:sz w:val="22"/>
                <w:szCs w:val="22"/>
                <w:lang w:eastAsia="ar-SA"/>
              </w:rPr>
            </w:pPr>
            <w:r w:rsidRPr="00EB0A89">
              <w:rPr>
                <w:sz w:val="22"/>
                <w:szCs w:val="22"/>
                <w:lang w:eastAsia="ar-SA"/>
              </w:rPr>
              <w:t>0</w:t>
            </w:r>
          </w:p>
        </w:tc>
      </w:tr>
    </w:tbl>
    <w:p w:rsidR="00EB0A89" w:rsidRPr="00EB0A89" w:rsidRDefault="00EB0A89" w:rsidP="00EB0A89">
      <w:pPr>
        <w:suppressAutoHyphens/>
        <w:snapToGrid w:val="0"/>
        <w:ind w:firstLine="709"/>
        <w:jc w:val="both"/>
        <w:rPr>
          <w:b/>
          <w:lang w:eastAsia="ar-SA"/>
        </w:rPr>
      </w:pPr>
    </w:p>
    <w:p w:rsidR="00EB0A89" w:rsidRPr="00EB0A89" w:rsidRDefault="00EB0A89" w:rsidP="00EB0A89">
      <w:pPr>
        <w:ind w:firstLine="709"/>
        <w:jc w:val="both"/>
        <w:rPr>
          <w:szCs w:val="26"/>
        </w:rPr>
      </w:pPr>
      <w:r w:rsidRPr="00EB0A89">
        <w:rPr>
          <w:szCs w:val="26"/>
        </w:rPr>
        <w:t>Стоимость потребленных энергоресурсов за 2014 год составила 6 328,1 тыс.руб. с НДС, из них на долю бензина приходится 82,5%, электрической энергии – 10,2%, тепловой энергии – 6,2%, природного газа – 1,1%.</w:t>
      </w:r>
    </w:p>
    <w:p w:rsidR="00AF026E" w:rsidRPr="00AF026E" w:rsidRDefault="00AF026E" w:rsidP="00AF026E">
      <w:pPr>
        <w:ind w:firstLine="720"/>
        <w:rPr>
          <w:szCs w:val="20"/>
        </w:rPr>
      </w:pPr>
    </w:p>
    <w:p w:rsidR="001E35E1" w:rsidRPr="00AE1F4D" w:rsidRDefault="001E35E1" w:rsidP="001E35E1">
      <w:pPr>
        <w:jc w:val="center"/>
        <w:rPr>
          <w:b/>
        </w:rPr>
      </w:pPr>
      <w:r w:rsidRPr="00AE1F4D">
        <w:rPr>
          <w:b/>
        </w:rPr>
        <w:lastRenderedPageBreak/>
        <w:t>2.</w:t>
      </w:r>
      <w:r w:rsidR="00AE1F4D">
        <w:rPr>
          <w:b/>
        </w:rPr>
        <w:t>5</w:t>
      </w:r>
      <w:r w:rsidRPr="00AE1F4D">
        <w:rPr>
          <w:b/>
        </w:rPr>
        <w:t xml:space="preserve">. </w:t>
      </w:r>
      <w:r w:rsidR="00ED6F4E" w:rsidRPr="00AE1F4D">
        <w:rPr>
          <w:b/>
        </w:rPr>
        <w:t>З</w:t>
      </w:r>
      <w:r w:rsidRPr="00AE1F4D">
        <w:rPr>
          <w:b/>
        </w:rPr>
        <w:t>акупочн</w:t>
      </w:r>
      <w:r w:rsidR="00ED6F4E" w:rsidRPr="00AE1F4D">
        <w:rPr>
          <w:b/>
        </w:rPr>
        <w:t>ая</w:t>
      </w:r>
      <w:r w:rsidRPr="00AE1F4D">
        <w:rPr>
          <w:b/>
        </w:rPr>
        <w:t xml:space="preserve"> деятельност</w:t>
      </w:r>
      <w:r w:rsidR="00ED6F4E" w:rsidRPr="00AE1F4D">
        <w:rPr>
          <w:b/>
        </w:rPr>
        <w:t>ь</w:t>
      </w:r>
    </w:p>
    <w:p w:rsidR="001E35E1" w:rsidRPr="001E35E1" w:rsidRDefault="001E35E1" w:rsidP="001E35E1">
      <w:pPr>
        <w:rPr>
          <w:b/>
        </w:rPr>
      </w:pPr>
    </w:p>
    <w:p w:rsidR="001E35E1" w:rsidRPr="001E35E1" w:rsidRDefault="001E35E1" w:rsidP="001E35E1">
      <w:pPr>
        <w:ind w:firstLine="709"/>
        <w:jc w:val="both"/>
      </w:pPr>
      <w:r w:rsidRPr="001E35E1">
        <w:t>В соответствии с Федеральным законом от 18.07.2011г. № 223-ФЗ «О закупках товаров, работ, услуг отдельными видами юридических лиц» закупочная деятельность ОАО «Каббалкэнерго» регламентируется следующими документами:</w:t>
      </w:r>
    </w:p>
    <w:p w:rsidR="001E35E1" w:rsidRPr="001E35E1" w:rsidRDefault="001E35E1" w:rsidP="00AE0E97">
      <w:pPr>
        <w:numPr>
          <w:ilvl w:val="0"/>
          <w:numId w:val="13"/>
        </w:numPr>
        <w:tabs>
          <w:tab w:val="left" w:pos="900"/>
          <w:tab w:val="left" w:pos="1080"/>
        </w:tabs>
        <w:ind w:left="0" w:firstLine="720"/>
        <w:jc w:val="both"/>
      </w:pPr>
      <w:r w:rsidRPr="001E35E1">
        <w:t>Положением о закупке товаров, работ, услуг для нужд ОАО «Каббалкэнерго», утвержденным Советом Директоров Общества (протокол от 22.08.2013г.  № 120);</w:t>
      </w:r>
    </w:p>
    <w:p w:rsidR="001E35E1" w:rsidRPr="001E35E1" w:rsidRDefault="001E35E1" w:rsidP="00AE0E97">
      <w:pPr>
        <w:numPr>
          <w:ilvl w:val="0"/>
          <w:numId w:val="13"/>
        </w:numPr>
        <w:tabs>
          <w:tab w:val="left" w:pos="900"/>
          <w:tab w:val="left" w:pos="1080"/>
        </w:tabs>
        <w:ind w:left="0" w:firstLine="720"/>
        <w:jc w:val="both"/>
      </w:pPr>
      <w:r w:rsidRPr="001E35E1">
        <w:t xml:space="preserve"> Приказом Общества «Об образовании Закупочной комиссии ОАО «Каббалкэнерго» от 16.01.2013г. № 8; </w:t>
      </w:r>
    </w:p>
    <w:p w:rsidR="001E35E1" w:rsidRPr="001E35E1" w:rsidRDefault="001E35E1" w:rsidP="00AE0E97">
      <w:pPr>
        <w:numPr>
          <w:ilvl w:val="0"/>
          <w:numId w:val="13"/>
        </w:numPr>
        <w:tabs>
          <w:tab w:val="num" w:pos="0"/>
          <w:tab w:val="left" w:pos="900"/>
        </w:tabs>
        <w:ind w:left="0" w:firstLine="720"/>
        <w:jc w:val="both"/>
      </w:pPr>
      <w:r w:rsidRPr="001E35E1">
        <w:t xml:space="preserve">Планом закупок ОАО «Каббалкэнерго» на 2014 год, утвержденным Советом Директоров Общества (протокол от 31.01.2014г. №128). План закупок опубликован на официальном сайте Российской Федерации для размещения информации о закупках отдельными видами юридических лиц </w:t>
      </w:r>
      <w:hyperlink r:id="rId31" w:history="1">
        <w:r w:rsidRPr="001E35E1">
          <w:rPr>
            <w:u w:val="single"/>
            <w:lang w:val="en-US"/>
          </w:rPr>
          <w:t>www</w:t>
        </w:r>
        <w:r w:rsidRPr="001E35E1">
          <w:rPr>
            <w:u w:val="single"/>
          </w:rPr>
          <w:t>.</w:t>
        </w:r>
        <w:r w:rsidRPr="001E35E1">
          <w:rPr>
            <w:u w:val="single"/>
            <w:lang w:val="en-US"/>
          </w:rPr>
          <w:t>zakupki</w:t>
        </w:r>
        <w:r w:rsidRPr="001E35E1">
          <w:rPr>
            <w:u w:val="single"/>
          </w:rPr>
          <w:t>.</w:t>
        </w:r>
        <w:r w:rsidRPr="001E35E1">
          <w:rPr>
            <w:u w:val="single"/>
            <w:lang w:val="en-US"/>
          </w:rPr>
          <w:t>gov</w:t>
        </w:r>
        <w:r w:rsidRPr="001E35E1">
          <w:rPr>
            <w:u w:val="single"/>
          </w:rPr>
          <w:t>.</w:t>
        </w:r>
        <w:r w:rsidRPr="001E35E1">
          <w:rPr>
            <w:u w:val="single"/>
            <w:lang w:val="en-US"/>
          </w:rPr>
          <w:t>ru</w:t>
        </w:r>
      </w:hyperlink>
      <w:r w:rsidRPr="001E35E1">
        <w:t xml:space="preserve">. </w:t>
      </w:r>
    </w:p>
    <w:p w:rsidR="001E35E1" w:rsidRPr="001E35E1" w:rsidRDefault="001E35E1" w:rsidP="001E35E1">
      <w:pPr>
        <w:ind w:firstLine="708"/>
        <w:jc w:val="both"/>
      </w:pPr>
      <w:bookmarkStart w:id="6" w:name="_Ref54335434"/>
      <w:bookmarkStart w:id="7" w:name="_Ref95217641"/>
      <w:r w:rsidRPr="001E35E1">
        <w:t>Процедурная регламентация закупок применяется в целях обеспечения целевого и эффективного расходования денежных средств Общества, а также получения экономически обоснованных затрат (рыночных цен на продукцию) и предотвращения возможных злоупотреблений со стороны Заказчика (Организатора закупки).</w:t>
      </w:r>
    </w:p>
    <w:p w:rsidR="001E35E1" w:rsidRPr="001E35E1" w:rsidRDefault="001E35E1" w:rsidP="001E35E1">
      <w:pPr>
        <w:tabs>
          <w:tab w:val="num" w:pos="1701"/>
        </w:tabs>
        <w:ind w:firstLine="708"/>
        <w:jc w:val="both"/>
      </w:pPr>
      <w:r w:rsidRPr="001E35E1">
        <w:t>Регламентация закупочной деятельности:</w:t>
      </w:r>
    </w:p>
    <w:p w:rsidR="001E35E1" w:rsidRPr="001E35E1" w:rsidRDefault="001E35E1" w:rsidP="001E35E1">
      <w:pPr>
        <w:tabs>
          <w:tab w:val="num" w:pos="1701"/>
        </w:tabs>
        <w:ind w:firstLine="567"/>
        <w:jc w:val="both"/>
      </w:pPr>
      <w:r w:rsidRPr="001E35E1">
        <w:t>- построена на разумном использовании специальных приемов для целенаправленного усиления действия рыночных законов в каждом случае закупки;</w:t>
      </w:r>
    </w:p>
    <w:p w:rsidR="001E35E1" w:rsidRPr="001E35E1" w:rsidRDefault="001E35E1" w:rsidP="001E35E1">
      <w:pPr>
        <w:tabs>
          <w:tab w:val="num" w:pos="1701"/>
        </w:tabs>
        <w:ind w:firstLine="567"/>
        <w:jc w:val="both"/>
      </w:pPr>
      <w:r w:rsidRPr="001E35E1">
        <w:t xml:space="preserve">-  осуществляется путем применения обязательных процедур, которые должны выполняться сотрудниками Заказчика при каждой закупке стоимостью выше определенного значения (такие процедуры могут также применяться и при более мелких закупках, если это признано целесообразным). </w:t>
      </w:r>
    </w:p>
    <w:p w:rsidR="001E35E1" w:rsidRPr="001E35E1" w:rsidRDefault="001E35E1" w:rsidP="001E35E1">
      <w:pPr>
        <w:tabs>
          <w:tab w:val="num" w:pos="1701"/>
        </w:tabs>
        <w:jc w:val="both"/>
      </w:pPr>
      <w:r w:rsidRPr="001E35E1">
        <w:t>Данные процедуры предполагают:</w:t>
      </w:r>
    </w:p>
    <w:p w:rsidR="001E35E1" w:rsidRPr="001E35E1" w:rsidRDefault="001E35E1" w:rsidP="001E35E1">
      <w:pPr>
        <w:tabs>
          <w:tab w:val="num" w:pos="1701"/>
        </w:tabs>
        <w:ind w:firstLine="567"/>
        <w:jc w:val="both"/>
      </w:pPr>
      <w:r w:rsidRPr="001E35E1">
        <w:t>-   анализ рынка;</w:t>
      </w:r>
    </w:p>
    <w:p w:rsidR="001E35E1" w:rsidRPr="001E35E1" w:rsidRDefault="001E35E1" w:rsidP="001E35E1">
      <w:pPr>
        <w:tabs>
          <w:tab w:val="num" w:pos="1701"/>
        </w:tabs>
        <w:ind w:firstLine="567"/>
        <w:jc w:val="both"/>
      </w:pPr>
      <w:r w:rsidRPr="001E35E1">
        <w:t>-   планирование потребности в продукции;</w:t>
      </w:r>
    </w:p>
    <w:p w:rsidR="001E35E1" w:rsidRPr="001E35E1" w:rsidRDefault="001E35E1" w:rsidP="001E35E1">
      <w:pPr>
        <w:tabs>
          <w:tab w:val="num" w:pos="1701"/>
        </w:tabs>
        <w:ind w:firstLine="567"/>
        <w:jc w:val="both"/>
      </w:pPr>
      <w:r w:rsidRPr="001E35E1">
        <w:t>-   информационную открытость закупки;</w:t>
      </w:r>
    </w:p>
    <w:p w:rsidR="001E35E1" w:rsidRPr="001E35E1" w:rsidRDefault="001E35E1" w:rsidP="001E35E1">
      <w:pPr>
        <w:tabs>
          <w:tab w:val="left" w:pos="709"/>
          <w:tab w:val="num" w:pos="1701"/>
        </w:tabs>
        <w:ind w:firstLine="567"/>
        <w:jc w:val="both"/>
      </w:pPr>
      <w:r w:rsidRPr="001E35E1">
        <w:t>- равноправие, справедливость, отсутствие дискриминации и необоснованных ограничений конкуренции по отношению к участникам закупки;</w:t>
      </w:r>
    </w:p>
    <w:p w:rsidR="001E35E1" w:rsidRPr="001E35E1" w:rsidRDefault="001E35E1" w:rsidP="001E35E1">
      <w:pPr>
        <w:tabs>
          <w:tab w:val="num" w:pos="1701"/>
        </w:tabs>
        <w:ind w:firstLine="567"/>
        <w:jc w:val="both"/>
      </w:pPr>
      <w:r w:rsidRPr="001E35E1">
        <w:t>- честный и разумный выбор наиболее предпочтительных предложений при комплексном анализе выгод и издержек (прежде всего цены и качества продукции);</w:t>
      </w:r>
    </w:p>
    <w:p w:rsidR="001E35E1" w:rsidRPr="001E35E1" w:rsidRDefault="001E35E1" w:rsidP="001E35E1">
      <w:pPr>
        <w:tabs>
          <w:tab w:val="num" w:pos="1701"/>
        </w:tabs>
        <w:ind w:firstLine="567"/>
        <w:jc w:val="both"/>
      </w:pPr>
      <w:r w:rsidRPr="001E35E1">
        <w:t>- целевое и экономически эффективное расходование денежных средств на приобретение товаров, работ, услуг (с учетом, при необходимости, стоимости жизненного цикла закупаемой продукции) и реализации мер, направленных на сокращение издержек Заказчика;</w:t>
      </w:r>
    </w:p>
    <w:p w:rsidR="001E35E1" w:rsidRPr="001E35E1" w:rsidRDefault="001E35E1" w:rsidP="001E35E1">
      <w:pPr>
        <w:tabs>
          <w:tab w:val="num" w:pos="1701"/>
        </w:tabs>
        <w:ind w:firstLine="567"/>
        <w:jc w:val="both"/>
      </w:pPr>
      <w:r w:rsidRPr="001E35E1">
        <w:t xml:space="preserve">- отсутствие ограничения допуска к участию в закупке путем установления неизмеримых требований к участнику закупки; </w:t>
      </w:r>
    </w:p>
    <w:p w:rsidR="001E35E1" w:rsidRPr="001E35E1" w:rsidRDefault="001E35E1" w:rsidP="001E35E1">
      <w:pPr>
        <w:tabs>
          <w:tab w:val="num" w:pos="1701"/>
        </w:tabs>
        <w:jc w:val="both"/>
      </w:pPr>
      <w:r w:rsidRPr="001E35E1">
        <w:t>-   базируется на системном подходе, который означает для Заказчика наличие:</w:t>
      </w:r>
    </w:p>
    <w:p w:rsidR="001E35E1" w:rsidRPr="001E35E1" w:rsidRDefault="001E35E1" w:rsidP="001E35E1">
      <w:pPr>
        <w:tabs>
          <w:tab w:val="num" w:pos="1701"/>
        </w:tabs>
        <w:ind w:firstLine="567"/>
        <w:jc w:val="both"/>
      </w:pPr>
      <w:r w:rsidRPr="001E35E1">
        <w:t>-   регламентирующей среды;</w:t>
      </w:r>
    </w:p>
    <w:p w:rsidR="001E35E1" w:rsidRPr="001E35E1" w:rsidRDefault="001E35E1" w:rsidP="001E35E1">
      <w:pPr>
        <w:tabs>
          <w:tab w:val="num" w:pos="1701"/>
        </w:tabs>
        <w:ind w:firstLine="567"/>
        <w:jc w:val="both"/>
      </w:pPr>
      <w:r w:rsidRPr="001E35E1">
        <w:t>-   установленной организационной структуры управления закупками и их контроля;</w:t>
      </w:r>
    </w:p>
    <w:p w:rsidR="001E35E1" w:rsidRPr="001E35E1" w:rsidRDefault="001E35E1" w:rsidP="001E35E1">
      <w:pPr>
        <w:tabs>
          <w:tab w:val="num" w:pos="1701"/>
        </w:tabs>
        <w:ind w:firstLine="567"/>
        <w:jc w:val="both"/>
      </w:pPr>
      <w:r w:rsidRPr="001E35E1">
        <w:t>-   подготовленных кадров для проведения закупок;</w:t>
      </w:r>
    </w:p>
    <w:p w:rsidR="001E35E1" w:rsidRPr="001E35E1" w:rsidRDefault="001E35E1" w:rsidP="001E35E1">
      <w:pPr>
        <w:tabs>
          <w:tab w:val="num" w:pos="1701"/>
        </w:tabs>
        <w:ind w:firstLine="567"/>
        <w:jc w:val="both"/>
      </w:pPr>
      <w:r w:rsidRPr="001E35E1">
        <w:t>- налаженной инфраструктуры закупок (информационное обеспечение, средства электронной коммерции, сертификация, профессиональные консультанты);</w:t>
      </w:r>
    </w:p>
    <w:p w:rsidR="001E35E1" w:rsidRPr="001E35E1" w:rsidRDefault="001E35E1" w:rsidP="001E35E1">
      <w:pPr>
        <w:tabs>
          <w:tab w:val="num" w:pos="1701"/>
        </w:tabs>
        <w:ind w:firstLine="567"/>
        <w:jc w:val="both"/>
      </w:pPr>
      <w:r w:rsidRPr="001E35E1">
        <w:t>-   предусматривает соблюдение корпоративного единства правил закупок;</w:t>
      </w:r>
    </w:p>
    <w:p w:rsidR="001E35E1" w:rsidRPr="001E35E1" w:rsidRDefault="001E35E1" w:rsidP="001E35E1">
      <w:pPr>
        <w:ind w:firstLine="567"/>
        <w:jc w:val="both"/>
      </w:pPr>
      <w:r w:rsidRPr="001E35E1">
        <w:t>-  предусматривает контроль за объемом полномочий и ответственность закупающих сотрудников.</w:t>
      </w:r>
    </w:p>
    <w:bookmarkEnd w:id="6"/>
    <w:bookmarkEnd w:id="7"/>
    <w:p w:rsidR="001E35E1" w:rsidRPr="001E35E1" w:rsidRDefault="001E35E1" w:rsidP="001E35E1">
      <w:pPr>
        <w:ind w:firstLine="720"/>
      </w:pPr>
      <w:r w:rsidRPr="001E35E1">
        <w:t>Положением предусмотрены следующие способы закупок:</w:t>
      </w:r>
    </w:p>
    <w:p w:rsidR="001E35E1" w:rsidRPr="001E35E1" w:rsidRDefault="001E35E1" w:rsidP="001E35E1">
      <w:pPr>
        <w:numPr>
          <w:ilvl w:val="4"/>
          <w:numId w:val="0"/>
        </w:numPr>
        <w:tabs>
          <w:tab w:val="num" w:pos="851"/>
        </w:tabs>
        <w:ind w:firstLine="567"/>
        <w:jc w:val="both"/>
      </w:pPr>
      <w:r w:rsidRPr="001E35E1">
        <w:rPr>
          <w:b/>
        </w:rPr>
        <w:t>Конкурс</w:t>
      </w:r>
      <w:r w:rsidRPr="001E35E1">
        <w:t xml:space="preserve">  проводится  в силу сложности приобретаемой продукции или при наличии нескольких вариантов удовлетворения нужд Заказчика, когда  трудно сразу сформулировать подробные требования к закупаемой продукции.</w:t>
      </w:r>
    </w:p>
    <w:p w:rsidR="001E35E1" w:rsidRPr="001E35E1" w:rsidRDefault="001E35E1" w:rsidP="001E35E1">
      <w:pPr>
        <w:numPr>
          <w:ilvl w:val="4"/>
          <w:numId w:val="0"/>
        </w:numPr>
        <w:tabs>
          <w:tab w:val="num" w:pos="851"/>
        </w:tabs>
        <w:ind w:firstLine="567"/>
        <w:jc w:val="both"/>
      </w:pPr>
      <w:r w:rsidRPr="001E35E1">
        <w:rPr>
          <w:b/>
        </w:rPr>
        <w:lastRenderedPageBreak/>
        <w:t>Аукцион</w:t>
      </w:r>
      <w:r w:rsidRPr="001E35E1">
        <w:rPr>
          <w:sz w:val="28"/>
          <w:szCs w:val="28"/>
        </w:rPr>
        <w:t xml:space="preserve">  </w:t>
      </w:r>
      <w:r w:rsidRPr="001E35E1">
        <w:t xml:space="preserve">проводится при закупках продукции, для которой существует функционирующий рынок и относительно которой инициатором закупки сформулированы подробные требования в форме технического задания. </w:t>
      </w:r>
    </w:p>
    <w:p w:rsidR="001E35E1" w:rsidRPr="001E35E1" w:rsidRDefault="001E35E1" w:rsidP="001E35E1">
      <w:pPr>
        <w:numPr>
          <w:ilvl w:val="4"/>
          <w:numId w:val="0"/>
        </w:numPr>
        <w:tabs>
          <w:tab w:val="num" w:pos="851"/>
        </w:tabs>
        <w:ind w:firstLine="567"/>
        <w:jc w:val="both"/>
      </w:pPr>
      <w:r w:rsidRPr="001E35E1">
        <w:rPr>
          <w:b/>
        </w:rPr>
        <w:t>Запрос предложений</w:t>
      </w:r>
      <w:r w:rsidRPr="001E35E1">
        <w:t xml:space="preserve">  проводится в случае, когда на проведение конкурса нет времени или его проведение нецелесообразно по каким-то иным веским причинам, однако обстоятельства, требующие немедленного проведения закупки у единственного поставщика (исполнителя, подрядчика) отсутствуют, а сложность продукции или условий ее поставки не допускают проведения аукциона, запроса цен, (проводится при условии когда предполагаемый объем закупок не превышает 10 млн. рублей (с НДС).</w:t>
      </w:r>
    </w:p>
    <w:p w:rsidR="001E35E1" w:rsidRPr="001E35E1" w:rsidRDefault="001E35E1" w:rsidP="001E35E1">
      <w:pPr>
        <w:numPr>
          <w:ilvl w:val="4"/>
          <w:numId w:val="0"/>
        </w:numPr>
        <w:tabs>
          <w:tab w:val="num" w:pos="851"/>
        </w:tabs>
        <w:ind w:firstLine="567"/>
        <w:jc w:val="both"/>
      </w:pPr>
      <w:r w:rsidRPr="001E35E1">
        <w:rPr>
          <w:b/>
        </w:rPr>
        <w:t>Запрос цен</w:t>
      </w:r>
      <w:r w:rsidRPr="001E35E1">
        <w:t xml:space="preserve"> </w:t>
      </w:r>
      <w:r w:rsidRPr="001E35E1">
        <w:rPr>
          <w:sz w:val="28"/>
          <w:szCs w:val="28"/>
        </w:rPr>
        <w:t xml:space="preserve"> </w:t>
      </w:r>
      <w:r w:rsidRPr="001E35E1">
        <w:t>осуществляться при закупках простой продукции, для которой существует функционирующий рынок, единственным критерием является цена и при условии, что цена договора не превышает для открытого запроса цен 5 млн. рублей (с НДС), а срок не позволяет провести аукцион.</w:t>
      </w:r>
    </w:p>
    <w:p w:rsidR="001E35E1" w:rsidRPr="001E35E1" w:rsidRDefault="001E35E1" w:rsidP="001E35E1">
      <w:pPr>
        <w:numPr>
          <w:ilvl w:val="4"/>
          <w:numId w:val="0"/>
        </w:numPr>
        <w:tabs>
          <w:tab w:val="num" w:pos="851"/>
        </w:tabs>
        <w:ind w:firstLine="567"/>
        <w:jc w:val="both"/>
      </w:pPr>
      <w:r w:rsidRPr="001E35E1">
        <w:rPr>
          <w:b/>
        </w:rPr>
        <w:t>Конкурентные переговоры</w:t>
      </w:r>
      <w:r w:rsidRPr="001E35E1">
        <w:t xml:space="preserve"> </w:t>
      </w:r>
      <w:r w:rsidRPr="001E35E1">
        <w:rPr>
          <w:sz w:val="28"/>
          <w:szCs w:val="28"/>
        </w:rPr>
        <w:t xml:space="preserve"> </w:t>
      </w:r>
      <w:r w:rsidRPr="001E35E1">
        <w:t>проводятся при закупках особо сложной продукции, когда необходимо провести переговоры с участниками, а использование процедуры двухэтапного конкурса или запроса предложений с учетом затрат времени или по иным причинам нецелесообразно.</w:t>
      </w:r>
    </w:p>
    <w:p w:rsidR="001E35E1" w:rsidRPr="001E35E1" w:rsidRDefault="001E35E1" w:rsidP="001E35E1">
      <w:pPr>
        <w:numPr>
          <w:ilvl w:val="4"/>
          <w:numId w:val="0"/>
        </w:numPr>
        <w:tabs>
          <w:tab w:val="num" w:pos="851"/>
        </w:tabs>
        <w:ind w:firstLine="567"/>
        <w:jc w:val="both"/>
      </w:pPr>
      <w:r w:rsidRPr="001E35E1">
        <w:rPr>
          <w:b/>
        </w:rPr>
        <w:t>Простая закупка</w:t>
      </w:r>
      <w:r w:rsidRPr="001E35E1">
        <w:t xml:space="preserve"> осуществляется при наличии однозначно сформулированных к закупаемой продукции технических требований, в том числе, когда определены функциональные характеристики (потребительские свойства) товара, размеры, упаковка, отгрузка товара, установлены конкретные требования к результатам работы (услуги) в форме технического задания, а также отсутствует время для проведения иной конкурентной закупки.</w:t>
      </w:r>
    </w:p>
    <w:p w:rsidR="001E35E1" w:rsidRPr="001E35E1" w:rsidRDefault="001E35E1" w:rsidP="001E35E1">
      <w:pPr>
        <w:numPr>
          <w:ilvl w:val="4"/>
          <w:numId w:val="0"/>
        </w:numPr>
        <w:tabs>
          <w:tab w:val="num" w:pos="851"/>
        </w:tabs>
        <w:ind w:firstLine="567"/>
        <w:jc w:val="both"/>
      </w:pPr>
      <w:r w:rsidRPr="001E35E1">
        <w:rPr>
          <w:b/>
        </w:rPr>
        <w:t>Мелкая закупка</w:t>
      </w:r>
      <w:r w:rsidRPr="001E35E1">
        <w:t xml:space="preserve"> проводится при наличии однозначно сформулированных технических требований к закупаемой продукции, в том числе, когда определены функциональные характеристики (потребительские свойства) товара, размеры, упаковка, отгрузка товара, установлены конкретные требования к результатам работы (услуги) в форме технического задания, нет времени для проведения иной конкурентной закупки; </w:t>
      </w:r>
    </w:p>
    <w:p w:rsidR="001E35E1" w:rsidRPr="001E35E1" w:rsidRDefault="001E35E1" w:rsidP="001E35E1">
      <w:pPr>
        <w:numPr>
          <w:ilvl w:val="4"/>
          <w:numId w:val="0"/>
        </w:numPr>
        <w:tabs>
          <w:tab w:val="num" w:pos="851"/>
        </w:tabs>
        <w:ind w:firstLine="567"/>
        <w:jc w:val="both"/>
      </w:pPr>
      <w:r w:rsidRPr="001E35E1">
        <w:rPr>
          <w:b/>
        </w:rPr>
        <w:t>Закупка у единственного поставщика</w:t>
      </w:r>
      <w:r w:rsidRPr="001E35E1">
        <w:t xml:space="preserve"> осуществляется:</w:t>
      </w:r>
    </w:p>
    <w:p w:rsidR="001E35E1" w:rsidRPr="001E35E1" w:rsidRDefault="001E35E1" w:rsidP="001E35E1">
      <w:pPr>
        <w:jc w:val="both"/>
      </w:pPr>
      <w:r w:rsidRPr="001E35E1">
        <w:t>-  при наличии продукции только у конкретного поставщика (подрядчика, исполнителя);</w:t>
      </w:r>
    </w:p>
    <w:p w:rsidR="001E35E1" w:rsidRPr="001E35E1" w:rsidRDefault="001E35E1" w:rsidP="001E35E1">
      <w:pPr>
        <w:jc w:val="both"/>
      </w:pPr>
      <w:r w:rsidRPr="001E35E1">
        <w:t xml:space="preserve">-  в целях предотвращения чрезвычайной ситуации или ликвидации ее последствий,  </w:t>
      </w:r>
    </w:p>
    <w:p w:rsidR="001E35E1" w:rsidRPr="001E35E1" w:rsidRDefault="001E35E1" w:rsidP="001E35E1">
      <w:pPr>
        <w:jc w:val="both"/>
      </w:pPr>
      <w:r w:rsidRPr="001E35E1">
        <w:t>-  при закупке у единственного поставщика условно-постоянной продукции.</w:t>
      </w:r>
    </w:p>
    <w:p w:rsidR="001E35E1" w:rsidRPr="001E35E1" w:rsidRDefault="001E35E1" w:rsidP="001E35E1">
      <w:pPr>
        <w:numPr>
          <w:ilvl w:val="4"/>
          <w:numId w:val="0"/>
        </w:numPr>
        <w:tabs>
          <w:tab w:val="num" w:pos="851"/>
        </w:tabs>
        <w:ind w:firstLine="567"/>
        <w:jc w:val="both"/>
      </w:pPr>
      <w:r w:rsidRPr="001E35E1">
        <w:rPr>
          <w:b/>
        </w:rPr>
        <w:t>Закупка путем участия в процедурах, организованных продавцами продукции</w:t>
      </w:r>
      <w:r w:rsidRPr="001E35E1">
        <w:t xml:space="preserve"> производится в условиях дефицита продукции, когда спрос на продукцию превышает ее предложение. </w:t>
      </w:r>
    </w:p>
    <w:p w:rsidR="001E35E1" w:rsidRPr="001E35E1" w:rsidRDefault="001E35E1" w:rsidP="001E35E1">
      <w:pPr>
        <w:ind w:firstLine="708"/>
        <w:jc w:val="both"/>
      </w:pPr>
      <w:r w:rsidRPr="001E35E1">
        <w:t xml:space="preserve">Согласно Положению, информация о проводимых регламентированных процедурах и отчет об их итогах размещаются на электронной торговой площадке www.b2b-mrsk.ru, а также на официальном сайте </w:t>
      </w:r>
      <w:r w:rsidRPr="001E35E1">
        <w:rPr>
          <w:lang w:val="en-US"/>
        </w:rPr>
        <w:t>www</w:t>
      </w:r>
      <w:r w:rsidRPr="001E35E1">
        <w:t>.</w:t>
      </w:r>
      <w:r w:rsidRPr="001E35E1">
        <w:rPr>
          <w:lang w:val="en-US"/>
        </w:rPr>
        <w:t>zakupki</w:t>
      </w:r>
      <w:r w:rsidRPr="001E35E1">
        <w:t>.</w:t>
      </w:r>
      <w:r w:rsidRPr="001E35E1">
        <w:rPr>
          <w:lang w:val="en-US"/>
        </w:rPr>
        <w:t>gov</w:t>
      </w:r>
      <w:r w:rsidRPr="001E35E1">
        <w:t>.</w:t>
      </w:r>
      <w:r w:rsidRPr="001E35E1">
        <w:rPr>
          <w:lang w:val="en-US"/>
        </w:rPr>
        <w:t>ru</w:t>
      </w:r>
      <w:r w:rsidRPr="001E35E1">
        <w:t>.</w:t>
      </w:r>
    </w:p>
    <w:p w:rsidR="001E35E1" w:rsidRPr="001E35E1" w:rsidRDefault="001E35E1" w:rsidP="001E35E1">
      <w:pPr>
        <w:ind w:firstLine="720"/>
        <w:jc w:val="both"/>
      </w:pPr>
      <w:bookmarkStart w:id="8" w:name="_Ref110165746"/>
      <w:r w:rsidRPr="001E35E1">
        <w:t>План закупок формируется на основании программ, определяющих производственную деятельность Общества:</w:t>
      </w:r>
      <w:bookmarkEnd w:id="8"/>
    </w:p>
    <w:p w:rsidR="001E35E1" w:rsidRPr="001E35E1" w:rsidRDefault="001E35E1" w:rsidP="00AE0E97">
      <w:pPr>
        <w:numPr>
          <w:ilvl w:val="0"/>
          <w:numId w:val="14"/>
        </w:numPr>
        <w:ind w:left="0" w:firstLine="0"/>
        <w:jc w:val="both"/>
      </w:pPr>
      <w:r w:rsidRPr="001E35E1">
        <w:t>производственная программа (с учетом всех закупок, формирующих смету затрат на производство и реализацию продукции от обычной деятельности, предусмотренной форматом бизнес-плана);</w:t>
      </w:r>
    </w:p>
    <w:p w:rsidR="001E35E1" w:rsidRPr="001E35E1" w:rsidRDefault="001E35E1" w:rsidP="00AE0E97">
      <w:pPr>
        <w:numPr>
          <w:ilvl w:val="0"/>
          <w:numId w:val="14"/>
        </w:numPr>
        <w:ind w:left="0" w:firstLine="0"/>
      </w:pPr>
      <w:r w:rsidRPr="001E35E1">
        <w:t>ремонтная программа (план ремонтов);</w:t>
      </w:r>
    </w:p>
    <w:p w:rsidR="001E35E1" w:rsidRPr="001E35E1" w:rsidRDefault="001E35E1" w:rsidP="00AE0E97">
      <w:pPr>
        <w:numPr>
          <w:ilvl w:val="0"/>
          <w:numId w:val="14"/>
        </w:numPr>
        <w:ind w:left="0" w:firstLine="0"/>
        <w:jc w:val="both"/>
      </w:pPr>
      <w:r w:rsidRPr="001E35E1">
        <w:t>инвестиционная программа (включая техническое перевооружение и реконструкцию, новое строительство).</w:t>
      </w:r>
    </w:p>
    <w:p w:rsidR="005378D7" w:rsidRDefault="005378D7" w:rsidP="001E35E1">
      <w:pPr>
        <w:ind w:firstLine="708"/>
        <w:jc w:val="center"/>
        <w:rPr>
          <w:b/>
        </w:rPr>
      </w:pPr>
    </w:p>
    <w:p w:rsidR="00247FEF" w:rsidRDefault="00247FEF" w:rsidP="000A0C04">
      <w:pPr>
        <w:ind w:firstLine="708"/>
        <w:jc w:val="center"/>
        <w:rPr>
          <w:b/>
        </w:rPr>
      </w:pPr>
    </w:p>
    <w:p w:rsidR="00247FEF" w:rsidRDefault="00247FEF" w:rsidP="000A0C04">
      <w:pPr>
        <w:ind w:firstLine="708"/>
        <w:jc w:val="center"/>
        <w:rPr>
          <w:b/>
        </w:rPr>
      </w:pPr>
    </w:p>
    <w:p w:rsidR="00247FEF" w:rsidRDefault="00247FEF" w:rsidP="000A0C04">
      <w:pPr>
        <w:ind w:firstLine="708"/>
        <w:jc w:val="center"/>
        <w:rPr>
          <w:b/>
        </w:rPr>
      </w:pPr>
    </w:p>
    <w:p w:rsidR="00247FEF" w:rsidRDefault="00247FEF" w:rsidP="000A0C04">
      <w:pPr>
        <w:ind w:firstLine="708"/>
        <w:jc w:val="center"/>
        <w:rPr>
          <w:b/>
        </w:rPr>
      </w:pPr>
    </w:p>
    <w:p w:rsidR="00247FEF" w:rsidRDefault="00247FEF" w:rsidP="000A0C04">
      <w:pPr>
        <w:ind w:firstLine="708"/>
        <w:jc w:val="center"/>
        <w:rPr>
          <w:b/>
        </w:rPr>
      </w:pPr>
    </w:p>
    <w:p w:rsidR="000A0C04" w:rsidRDefault="000A0C04" w:rsidP="000A0C04">
      <w:pPr>
        <w:ind w:firstLine="708"/>
        <w:jc w:val="center"/>
        <w:rPr>
          <w:b/>
        </w:rPr>
      </w:pPr>
      <w:r w:rsidRPr="000A0C04">
        <w:rPr>
          <w:b/>
        </w:rPr>
        <w:lastRenderedPageBreak/>
        <w:t>Структура закупок Общества за 2014 год</w:t>
      </w:r>
    </w:p>
    <w:p w:rsidR="00247FEF" w:rsidRPr="000A0C04" w:rsidRDefault="00247FEF" w:rsidP="000A0C04">
      <w:pPr>
        <w:ind w:firstLine="708"/>
        <w:jc w:val="center"/>
        <w:rPr>
          <w:b/>
        </w:rPr>
      </w:pPr>
    </w:p>
    <w:tbl>
      <w:tblPr>
        <w:tblW w:w="4956" w:type="pct"/>
        <w:tblCellMar>
          <w:left w:w="0" w:type="dxa"/>
          <w:right w:w="28" w:type="dxa"/>
        </w:tblCellMar>
        <w:tblLook w:val="04A0" w:firstRow="1" w:lastRow="0" w:firstColumn="1" w:lastColumn="0" w:noHBand="0" w:noVBand="1"/>
      </w:tblPr>
      <w:tblGrid>
        <w:gridCol w:w="4213"/>
        <w:gridCol w:w="1492"/>
        <w:gridCol w:w="1086"/>
        <w:gridCol w:w="1357"/>
        <w:gridCol w:w="1261"/>
      </w:tblGrid>
      <w:tr w:rsidR="000A0C04" w:rsidRPr="000A0C04" w:rsidTr="000A0C04">
        <w:trPr>
          <w:trHeight w:val="779"/>
        </w:trPr>
        <w:tc>
          <w:tcPr>
            <w:tcW w:w="223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 xml:space="preserve">    </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План.</w:t>
            </w:r>
          </w:p>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 xml:space="preserve">тыс. руб. </w:t>
            </w:r>
          </w:p>
          <w:p w:rsidR="000A0C04" w:rsidRPr="000A0C04" w:rsidRDefault="000A0C04" w:rsidP="000A0C04">
            <w:pPr>
              <w:shd w:val="clear" w:color="auto" w:fill="FFFFFF"/>
              <w:ind w:left="8" w:right="-36" w:hanging="8"/>
              <w:jc w:val="center"/>
              <w:rPr>
                <w:bCs/>
                <w:color w:val="000000"/>
                <w:spacing w:val="-3"/>
                <w:sz w:val="22"/>
                <w:szCs w:val="22"/>
              </w:rPr>
            </w:pPr>
            <w:r w:rsidRPr="000A0C04">
              <w:rPr>
                <w:bCs/>
                <w:color w:val="000000"/>
                <w:spacing w:val="-3"/>
                <w:sz w:val="22"/>
                <w:szCs w:val="22"/>
              </w:rPr>
              <w:t>без НДС</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Кол-во план</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hanging="8"/>
              <w:jc w:val="center"/>
              <w:rPr>
                <w:bCs/>
                <w:color w:val="000000"/>
                <w:spacing w:val="-3"/>
              </w:rPr>
            </w:pPr>
            <w:r w:rsidRPr="000A0C04">
              <w:rPr>
                <w:bCs/>
                <w:color w:val="000000"/>
                <w:spacing w:val="-3"/>
              </w:rPr>
              <w:t>Факт,</w:t>
            </w:r>
          </w:p>
          <w:p w:rsidR="000A0C04" w:rsidRPr="000A0C04" w:rsidRDefault="000A0C04" w:rsidP="000A0C04">
            <w:pPr>
              <w:shd w:val="clear" w:color="auto" w:fill="FFFFFF"/>
              <w:ind w:hanging="8"/>
              <w:jc w:val="center"/>
              <w:rPr>
                <w:bCs/>
                <w:color w:val="000000"/>
                <w:spacing w:val="-3"/>
              </w:rPr>
            </w:pPr>
            <w:r w:rsidRPr="000A0C04">
              <w:rPr>
                <w:bCs/>
                <w:color w:val="000000"/>
                <w:spacing w:val="-3"/>
              </w:rPr>
              <w:t xml:space="preserve"> тыс. руб. </w:t>
            </w:r>
          </w:p>
          <w:p w:rsidR="000A0C04" w:rsidRPr="000A0C04" w:rsidRDefault="000A0C04" w:rsidP="000A0C04">
            <w:pPr>
              <w:shd w:val="clear" w:color="auto" w:fill="FFFFFF"/>
              <w:ind w:hanging="8"/>
              <w:jc w:val="center"/>
              <w:rPr>
                <w:bCs/>
                <w:color w:val="000000"/>
                <w:spacing w:val="-3"/>
              </w:rPr>
            </w:pPr>
            <w:r w:rsidRPr="000A0C04">
              <w:rPr>
                <w:bCs/>
                <w:color w:val="000000"/>
                <w:spacing w:val="-3"/>
              </w:rPr>
              <w:t>без НДС</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 xml:space="preserve">Кол-во </w:t>
            </w:r>
          </w:p>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факт</w:t>
            </w:r>
          </w:p>
        </w:tc>
      </w:tr>
      <w:tr w:rsidR="000A0C04" w:rsidRPr="000A0C04" w:rsidTr="000A0C04">
        <w:trPr>
          <w:trHeight w:val="534"/>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color w:val="000000"/>
                <w:spacing w:val="-3"/>
                <w:szCs w:val="28"/>
              </w:rPr>
            </w:pPr>
            <w:r w:rsidRPr="000A0C04">
              <w:rPr>
                <w:bCs/>
                <w:color w:val="000000"/>
                <w:spacing w:val="-3"/>
                <w:szCs w:val="28"/>
              </w:rPr>
              <w:t>Всего регламентированных закупок товаров, работ, услуг, в т.ч:</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 xml:space="preserve">52 050,80 </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37</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color w:val="000000"/>
                <w:spacing w:val="-3"/>
              </w:rPr>
            </w:pPr>
            <w:r w:rsidRPr="000A0C04">
              <w:rPr>
                <w:bCs/>
                <w:color w:val="000000"/>
                <w:spacing w:val="-3"/>
              </w:rPr>
              <w:t xml:space="preserve">31 393,71 </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color w:val="000000"/>
                <w:spacing w:val="-3"/>
              </w:rPr>
            </w:pPr>
            <w:r w:rsidRPr="000A0C04">
              <w:rPr>
                <w:bCs/>
                <w:color w:val="000000"/>
                <w:spacing w:val="-3"/>
              </w:rPr>
              <w:t>23</w:t>
            </w:r>
          </w:p>
        </w:tc>
      </w:tr>
      <w:tr w:rsidR="000A0C04" w:rsidRPr="000A0C04" w:rsidTr="000A0C04">
        <w:trPr>
          <w:trHeight w:val="534"/>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i/>
                <w:color w:val="000000"/>
                <w:spacing w:val="-3"/>
                <w:szCs w:val="28"/>
              </w:rPr>
            </w:pPr>
            <w:r w:rsidRPr="000A0C04">
              <w:rPr>
                <w:bCs/>
                <w:i/>
                <w:color w:val="000000"/>
                <w:spacing w:val="-3"/>
                <w:szCs w:val="28"/>
              </w:rPr>
              <w:t xml:space="preserve">Объявленных на </w:t>
            </w:r>
            <w:r w:rsidRPr="000A0C04">
              <w:rPr>
                <w:i/>
              </w:rPr>
              <w:t>электронной торговой площадке www.b2b-mrsk.ru</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51 629,00</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36</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i/>
                <w:color w:val="000000"/>
                <w:spacing w:val="-3"/>
              </w:rPr>
            </w:pPr>
            <w:r w:rsidRPr="000A0C04">
              <w:rPr>
                <w:bCs/>
                <w:i/>
                <w:color w:val="000000"/>
                <w:spacing w:val="-3"/>
              </w:rPr>
              <w:t>26 597,68</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i/>
                <w:color w:val="000000"/>
                <w:spacing w:val="-3"/>
              </w:rPr>
            </w:pPr>
            <w:r w:rsidRPr="000A0C04">
              <w:rPr>
                <w:bCs/>
                <w:i/>
                <w:color w:val="000000"/>
                <w:spacing w:val="-3"/>
              </w:rPr>
              <w:t>17</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color w:val="000000"/>
                <w:spacing w:val="-3"/>
                <w:szCs w:val="28"/>
              </w:rPr>
            </w:pPr>
            <w:r w:rsidRPr="000A0C04">
              <w:rPr>
                <w:bCs/>
                <w:color w:val="000000"/>
                <w:spacing w:val="-3"/>
                <w:szCs w:val="28"/>
              </w:rPr>
              <w:t>По способам закупок:</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tcPr>
          <w:p w:rsidR="000A0C04" w:rsidRPr="000A0C04" w:rsidRDefault="000A0C04" w:rsidP="000A0C04">
            <w:pPr>
              <w:shd w:val="clear" w:color="auto" w:fill="FFFFFF"/>
              <w:ind w:left="8" w:right="-36" w:hanging="8"/>
              <w:jc w:val="center"/>
              <w:rPr>
                <w:bCs/>
                <w:color w:val="000000"/>
                <w:spacing w:val="-3"/>
              </w:rPr>
            </w:pP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tcPr>
          <w:p w:rsidR="000A0C04" w:rsidRPr="000A0C04" w:rsidRDefault="000A0C04" w:rsidP="000A0C04">
            <w:pPr>
              <w:shd w:val="clear" w:color="auto" w:fill="FFFFFF"/>
              <w:ind w:left="8" w:right="-36" w:hanging="8"/>
              <w:jc w:val="center"/>
              <w:rPr>
                <w:bCs/>
                <w:color w:val="000000"/>
                <w:spacing w:val="-3"/>
              </w:rPr>
            </w:pP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tcPr>
          <w:p w:rsidR="000A0C04" w:rsidRPr="000A0C04" w:rsidRDefault="000A0C04" w:rsidP="000A0C04">
            <w:pPr>
              <w:shd w:val="clear" w:color="auto" w:fill="FFFFFF"/>
              <w:ind w:left="8" w:right="136" w:hanging="8"/>
              <w:jc w:val="center"/>
              <w:rPr>
                <w:bCs/>
                <w:color w:val="000000"/>
                <w:spacing w:val="-3"/>
              </w:rPr>
            </w:pP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tcPr>
          <w:p w:rsidR="000A0C04" w:rsidRPr="000A0C04" w:rsidRDefault="000A0C04" w:rsidP="000A0C04">
            <w:pPr>
              <w:shd w:val="clear" w:color="auto" w:fill="FFFFFF"/>
              <w:ind w:left="8" w:hanging="8"/>
              <w:jc w:val="center"/>
              <w:rPr>
                <w:bCs/>
                <w:color w:val="000000"/>
                <w:spacing w:val="-3"/>
              </w:rPr>
            </w:pP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i/>
                <w:color w:val="000000"/>
                <w:spacing w:val="-3"/>
                <w:szCs w:val="28"/>
              </w:rPr>
            </w:pPr>
            <w:r w:rsidRPr="000A0C04">
              <w:rPr>
                <w:bCs/>
                <w:color w:val="000000"/>
                <w:spacing w:val="-3"/>
                <w:szCs w:val="28"/>
              </w:rPr>
              <w:t xml:space="preserve">  </w:t>
            </w:r>
            <w:r w:rsidRPr="000A0C04">
              <w:rPr>
                <w:bCs/>
                <w:i/>
                <w:color w:val="000000"/>
                <w:spacing w:val="-3"/>
                <w:szCs w:val="28"/>
              </w:rPr>
              <w:t>открытый конкурс</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color w:val="000000"/>
                <w:spacing w:val="-3"/>
              </w:rPr>
            </w:pPr>
            <w:r w:rsidRPr="000A0C04">
              <w:rPr>
                <w:bCs/>
                <w:color w:val="000000"/>
                <w:spacing w:val="-3"/>
              </w:rPr>
              <w:t>-</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color w:val="000000"/>
                <w:spacing w:val="-3"/>
              </w:rPr>
            </w:pPr>
            <w:r w:rsidRPr="000A0C04">
              <w:rPr>
                <w:bCs/>
                <w:color w:val="000000"/>
                <w:spacing w:val="-3"/>
              </w:rPr>
              <w:t>-</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color w:val="000000"/>
                <w:spacing w:val="-3"/>
              </w:rPr>
            </w:pPr>
            <w:r w:rsidRPr="000A0C04">
              <w:rPr>
                <w:bCs/>
                <w:color w:val="000000"/>
                <w:spacing w:val="-3"/>
              </w:rPr>
              <w:t>-</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i/>
                <w:color w:val="000000"/>
                <w:spacing w:val="-3"/>
                <w:szCs w:val="28"/>
              </w:rPr>
            </w:pPr>
            <w:r w:rsidRPr="000A0C04">
              <w:rPr>
                <w:bCs/>
                <w:i/>
                <w:color w:val="000000"/>
                <w:spacing w:val="-3"/>
                <w:szCs w:val="28"/>
              </w:rPr>
              <w:t xml:space="preserve">   открытый запрос цен</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17 347,00</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18</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i/>
                <w:color w:val="000000"/>
                <w:spacing w:val="-3"/>
              </w:rPr>
            </w:pPr>
            <w:r w:rsidRPr="000A0C04">
              <w:rPr>
                <w:bCs/>
                <w:i/>
                <w:color w:val="000000"/>
                <w:spacing w:val="-3"/>
              </w:rPr>
              <w:t>14 102,62</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i/>
                <w:color w:val="000000"/>
                <w:spacing w:val="-3"/>
              </w:rPr>
            </w:pPr>
            <w:r w:rsidRPr="000A0C04">
              <w:rPr>
                <w:bCs/>
                <w:i/>
                <w:color w:val="000000"/>
                <w:spacing w:val="-3"/>
              </w:rPr>
              <w:t>16</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i/>
                <w:color w:val="000000"/>
                <w:spacing w:val="-3"/>
                <w:szCs w:val="28"/>
              </w:rPr>
            </w:pPr>
            <w:r w:rsidRPr="000A0C04">
              <w:rPr>
                <w:bCs/>
                <w:i/>
                <w:color w:val="000000"/>
                <w:spacing w:val="-3"/>
                <w:szCs w:val="28"/>
              </w:rPr>
              <w:t xml:space="preserve">   открытый запрос предложений</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34 703,80</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19</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i/>
                <w:color w:val="000000"/>
                <w:spacing w:val="-3"/>
              </w:rPr>
            </w:pPr>
            <w:r w:rsidRPr="000A0C04">
              <w:rPr>
                <w:bCs/>
                <w:i/>
                <w:color w:val="000000"/>
                <w:spacing w:val="-3"/>
              </w:rPr>
              <w:t>17 291,09</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i/>
                <w:color w:val="000000"/>
                <w:spacing w:val="-3"/>
              </w:rPr>
            </w:pPr>
            <w:r w:rsidRPr="000A0C04">
              <w:rPr>
                <w:bCs/>
                <w:i/>
                <w:color w:val="000000"/>
                <w:spacing w:val="-3"/>
              </w:rPr>
              <w:t>7</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color w:val="000000"/>
                <w:spacing w:val="-3"/>
                <w:szCs w:val="28"/>
              </w:rPr>
            </w:pPr>
            <w:r w:rsidRPr="000A0C04">
              <w:rPr>
                <w:bCs/>
                <w:color w:val="000000"/>
                <w:spacing w:val="-3"/>
                <w:szCs w:val="28"/>
              </w:rPr>
              <w:t xml:space="preserve"> Единственный источник</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jc w:val="center"/>
            </w:pPr>
            <w:r w:rsidRPr="000A0C04">
              <w:t>-</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jc w:val="center"/>
            </w:pPr>
            <w:r w:rsidRPr="000A0C04">
              <w:t>-</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jc w:val="center"/>
            </w:pPr>
            <w:r w:rsidRPr="000A0C04">
              <w:t xml:space="preserve">   393,84</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jc w:val="center"/>
            </w:pPr>
            <w:r w:rsidRPr="000A0C04">
              <w:t>2</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color w:val="000000"/>
                <w:spacing w:val="-3"/>
                <w:szCs w:val="28"/>
              </w:rPr>
            </w:pPr>
            <w:r w:rsidRPr="000A0C04">
              <w:rPr>
                <w:bCs/>
                <w:color w:val="000000"/>
                <w:spacing w:val="-3"/>
                <w:szCs w:val="28"/>
              </w:rPr>
              <w:t>Нерегламентированные закупки</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color w:val="000000"/>
                <w:spacing w:val="-3"/>
              </w:rPr>
            </w:pPr>
            <w:r w:rsidRPr="000A0C04">
              <w:rPr>
                <w:bCs/>
                <w:color w:val="000000"/>
                <w:spacing w:val="-3"/>
              </w:rPr>
              <w:t xml:space="preserve"> 5 799,56</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color w:val="000000"/>
                <w:spacing w:val="-3"/>
              </w:rPr>
            </w:pPr>
            <w:r w:rsidRPr="000A0C04">
              <w:rPr>
                <w:bCs/>
                <w:color w:val="000000"/>
                <w:spacing w:val="-3"/>
              </w:rPr>
              <w:t>126</w:t>
            </w:r>
          </w:p>
        </w:tc>
      </w:tr>
      <w:tr w:rsidR="000A0C04" w:rsidRPr="000A0C04" w:rsidTr="000A0C04">
        <w:trPr>
          <w:trHeight w:val="330"/>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Cs/>
                <w:color w:val="000000"/>
                <w:spacing w:val="-3"/>
                <w:szCs w:val="28"/>
              </w:rPr>
            </w:pPr>
            <w:r w:rsidRPr="000A0C04">
              <w:rPr>
                <w:bCs/>
                <w:color w:val="000000"/>
                <w:spacing w:val="-3"/>
                <w:szCs w:val="28"/>
              </w:rPr>
              <w:t>Условно-постоянные закупки (аренда)</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Cs/>
                <w:i/>
                <w:color w:val="000000"/>
                <w:spacing w:val="-3"/>
              </w:rPr>
            </w:pPr>
            <w:r w:rsidRPr="000A0C04">
              <w:rPr>
                <w:bCs/>
                <w:i/>
                <w:color w:val="000000"/>
                <w:spacing w:val="-3"/>
              </w:rPr>
              <w:t>-</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Cs/>
                <w:color w:val="000000"/>
                <w:spacing w:val="-3"/>
              </w:rPr>
            </w:pPr>
            <w:r w:rsidRPr="000A0C04">
              <w:rPr>
                <w:bCs/>
                <w:color w:val="000000"/>
                <w:spacing w:val="-3"/>
              </w:rPr>
              <w:t>9 895,81</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Cs/>
                <w:color w:val="000000"/>
                <w:spacing w:val="-3"/>
              </w:rPr>
            </w:pPr>
            <w:r w:rsidRPr="000A0C04">
              <w:rPr>
                <w:bCs/>
                <w:color w:val="000000"/>
                <w:spacing w:val="-3"/>
              </w:rPr>
              <w:t>10</w:t>
            </w:r>
          </w:p>
        </w:tc>
      </w:tr>
      <w:tr w:rsidR="000A0C04" w:rsidRPr="000A0C04" w:rsidTr="000A0C04">
        <w:trPr>
          <w:trHeight w:val="249"/>
        </w:trPr>
        <w:tc>
          <w:tcPr>
            <w:tcW w:w="2239" w:type="pct"/>
            <w:tcBorders>
              <w:top w:val="single" w:sz="6" w:space="0" w:color="auto"/>
              <w:left w:val="single" w:sz="6" w:space="0" w:color="auto"/>
              <w:bottom w:val="single" w:sz="6" w:space="0" w:color="auto"/>
              <w:right w:val="single" w:sz="6" w:space="0" w:color="auto"/>
            </w:tcBorders>
            <w:shd w:val="clear" w:color="auto" w:fill="FFFFFF"/>
            <w:hideMark/>
          </w:tcPr>
          <w:p w:rsidR="000A0C04" w:rsidRPr="000A0C04" w:rsidRDefault="000A0C04" w:rsidP="000A0C04">
            <w:pPr>
              <w:shd w:val="clear" w:color="auto" w:fill="FFFFFF"/>
              <w:ind w:left="8" w:right="-36" w:hanging="8"/>
              <w:rPr>
                <w:b/>
                <w:bCs/>
                <w:color w:val="000000"/>
                <w:spacing w:val="-3"/>
              </w:rPr>
            </w:pPr>
            <w:r w:rsidRPr="000A0C04">
              <w:rPr>
                <w:b/>
                <w:bCs/>
                <w:color w:val="000000"/>
                <w:spacing w:val="-3"/>
              </w:rPr>
              <w:t>Итого закупок</w:t>
            </w:r>
          </w:p>
        </w:tc>
        <w:tc>
          <w:tcPr>
            <w:tcW w:w="79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36" w:hanging="8"/>
              <w:jc w:val="center"/>
              <w:rPr>
                <w:b/>
                <w:bCs/>
                <w:color w:val="000000"/>
                <w:spacing w:val="-3"/>
              </w:rPr>
            </w:pPr>
            <w:r w:rsidRPr="000A0C04">
              <w:rPr>
                <w:b/>
                <w:bCs/>
                <w:color w:val="000000"/>
                <w:spacing w:val="-3"/>
              </w:rPr>
              <w:t>52 050,80</w:t>
            </w:r>
          </w:p>
        </w:tc>
        <w:tc>
          <w:tcPr>
            <w:tcW w:w="57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ind w:hanging="8"/>
              <w:jc w:val="center"/>
              <w:rPr>
                <w:b/>
                <w:bCs/>
                <w:color w:val="000000"/>
                <w:spacing w:val="-3"/>
              </w:rPr>
            </w:pPr>
            <w:r w:rsidRPr="000A0C04">
              <w:rPr>
                <w:b/>
                <w:bCs/>
                <w:color w:val="000000"/>
                <w:spacing w:val="-3"/>
              </w:rPr>
              <w:t>37</w:t>
            </w:r>
          </w:p>
        </w:tc>
        <w:tc>
          <w:tcPr>
            <w:tcW w:w="72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right="136" w:hanging="8"/>
              <w:jc w:val="center"/>
              <w:rPr>
                <w:b/>
                <w:bCs/>
                <w:color w:val="000000"/>
                <w:spacing w:val="-3"/>
              </w:rPr>
            </w:pPr>
            <w:r w:rsidRPr="000A0C04">
              <w:rPr>
                <w:b/>
                <w:bCs/>
                <w:color w:val="000000"/>
                <w:spacing w:val="-3"/>
              </w:rPr>
              <w:t>47 482,92</w:t>
            </w:r>
          </w:p>
        </w:tc>
        <w:tc>
          <w:tcPr>
            <w:tcW w:w="67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0A0C04" w:rsidRPr="000A0C04" w:rsidRDefault="000A0C04" w:rsidP="000A0C04">
            <w:pPr>
              <w:shd w:val="clear" w:color="auto" w:fill="FFFFFF"/>
              <w:ind w:left="8" w:hanging="8"/>
              <w:jc w:val="center"/>
              <w:rPr>
                <w:b/>
                <w:bCs/>
                <w:color w:val="000000"/>
                <w:spacing w:val="-3"/>
              </w:rPr>
            </w:pPr>
            <w:r w:rsidRPr="000A0C04">
              <w:rPr>
                <w:b/>
                <w:bCs/>
                <w:color w:val="000000"/>
                <w:spacing w:val="-3"/>
              </w:rPr>
              <w:t>161</w:t>
            </w:r>
          </w:p>
        </w:tc>
      </w:tr>
    </w:tbl>
    <w:p w:rsidR="000A0C04" w:rsidRPr="000A0C04" w:rsidRDefault="000A0C04" w:rsidP="000A0C04">
      <w:pPr>
        <w:ind w:firstLine="708"/>
        <w:jc w:val="both"/>
        <w:rPr>
          <w:szCs w:val="28"/>
        </w:rPr>
      </w:pPr>
    </w:p>
    <w:p w:rsidR="000A0C04" w:rsidRPr="000A0C04" w:rsidRDefault="000A0C04" w:rsidP="000A0C04">
      <w:pPr>
        <w:ind w:firstLine="708"/>
        <w:jc w:val="both"/>
        <w:rPr>
          <w:szCs w:val="28"/>
        </w:rPr>
      </w:pPr>
      <w:r w:rsidRPr="000A0C04">
        <w:rPr>
          <w:szCs w:val="28"/>
        </w:rPr>
        <w:t>В 2014 году:</w:t>
      </w:r>
    </w:p>
    <w:p w:rsidR="000A0C04" w:rsidRPr="000A0C04" w:rsidRDefault="000A0C04" w:rsidP="000A0C04">
      <w:pPr>
        <w:ind w:firstLine="708"/>
        <w:jc w:val="both"/>
        <w:rPr>
          <w:szCs w:val="28"/>
        </w:rPr>
      </w:pPr>
      <w:r w:rsidRPr="000A0C04">
        <w:rPr>
          <w:szCs w:val="28"/>
        </w:rPr>
        <w:t>- проведено закупок на сумму 47 482,92 тыс. руб., из них доля конкурентных закупок составила - 66 %, неконкурентных закупок - 34 %;</w:t>
      </w:r>
    </w:p>
    <w:p w:rsidR="000A0C04" w:rsidRPr="000A0C04" w:rsidRDefault="000A0C04" w:rsidP="000A0C04">
      <w:pPr>
        <w:ind w:firstLine="708"/>
        <w:jc w:val="both"/>
        <w:rPr>
          <w:szCs w:val="28"/>
        </w:rPr>
      </w:pPr>
      <w:r w:rsidRPr="000A0C04">
        <w:rPr>
          <w:szCs w:val="28"/>
        </w:rPr>
        <w:t>- уровень проведенных открытых конкурентных закупочных процедур на ЭТП составила  - 85 %; от общей суммы фактически проведенных конкурентных процедур.</w:t>
      </w:r>
    </w:p>
    <w:p w:rsidR="000A0C04" w:rsidRPr="000A0C04" w:rsidRDefault="000A0C04" w:rsidP="000A0C04">
      <w:pPr>
        <w:ind w:firstLine="708"/>
        <w:jc w:val="both"/>
        <w:rPr>
          <w:szCs w:val="28"/>
        </w:rPr>
      </w:pPr>
      <w:r w:rsidRPr="000A0C04">
        <w:rPr>
          <w:szCs w:val="28"/>
        </w:rPr>
        <w:t>- объем достигнутой экономии по результатам конкурентных закупочных процедур составил – 1 825,95 тыс. руб.;</w:t>
      </w:r>
    </w:p>
    <w:p w:rsidR="000A0C04" w:rsidRPr="00E668FF" w:rsidRDefault="000A0C04" w:rsidP="000A0C04">
      <w:pPr>
        <w:ind w:firstLine="708"/>
        <w:jc w:val="both"/>
        <w:rPr>
          <w:szCs w:val="28"/>
        </w:rPr>
      </w:pPr>
      <w:r w:rsidRPr="00E668FF">
        <w:rPr>
          <w:bCs/>
          <w:color w:val="000000"/>
          <w:spacing w:val="-3"/>
          <w:szCs w:val="28"/>
        </w:rPr>
        <w:t>- закупки у субъектов малого и среднего предпринимательства составили 23 процедуры,  на сумму 31 393,71 тыс. руб.</w:t>
      </w:r>
      <w:r w:rsidRPr="00E668FF">
        <w:rPr>
          <w:szCs w:val="28"/>
        </w:rPr>
        <w:t>, что составляет 100 % от суммы проведенных конкурентных закупок.</w:t>
      </w:r>
    </w:p>
    <w:p w:rsidR="00D23DFD" w:rsidRPr="00D23DFD" w:rsidRDefault="000A0C04" w:rsidP="000A0C04">
      <w:pPr>
        <w:ind w:firstLine="708"/>
        <w:jc w:val="both"/>
      </w:pPr>
      <w:r w:rsidRPr="00E668FF">
        <w:t>Проведено обучение специалистов закупочной деятельности по программе «Организация закупок товаров, работ, услуг отдельными видами юридических лиц: правовое регулирование».</w:t>
      </w:r>
    </w:p>
    <w:p w:rsidR="00D04122" w:rsidRDefault="00D04122" w:rsidP="00082D6C">
      <w:pPr>
        <w:pStyle w:val="a9"/>
        <w:spacing w:after="200" w:line="276" w:lineRule="auto"/>
        <w:ind w:left="0"/>
        <w:rPr>
          <w:rFonts w:eastAsiaTheme="minorHAnsi"/>
          <w:b/>
          <w:sz w:val="32"/>
          <w:szCs w:val="32"/>
          <w:lang w:eastAsia="en-US"/>
        </w:rPr>
      </w:pPr>
    </w:p>
    <w:p w:rsidR="008641C2" w:rsidRDefault="008641C2" w:rsidP="00082D6C">
      <w:pPr>
        <w:pStyle w:val="a9"/>
        <w:spacing w:after="200" w:line="276" w:lineRule="auto"/>
        <w:ind w:left="0"/>
        <w:rPr>
          <w:rFonts w:eastAsiaTheme="minorHAnsi"/>
          <w:b/>
          <w:sz w:val="32"/>
          <w:szCs w:val="32"/>
          <w:lang w:eastAsia="en-US"/>
        </w:rPr>
      </w:pPr>
    </w:p>
    <w:p w:rsidR="008641C2" w:rsidRDefault="008641C2" w:rsidP="00082D6C">
      <w:pPr>
        <w:pStyle w:val="a9"/>
        <w:spacing w:after="200" w:line="276" w:lineRule="auto"/>
        <w:ind w:left="0"/>
        <w:rPr>
          <w:rFonts w:eastAsiaTheme="minorHAnsi"/>
          <w:b/>
          <w:sz w:val="32"/>
          <w:szCs w:val="32"/>
          <w:lang w:eastAsia="en-US"/>
        </w:rPr>
      </w:pPr>
    </w:p>
    <w:p w:rsidR="008641C2" w:rsidRPr="008641C2" w:rsidRDefault="008641C2" w:rsidP="008641C2">
      <w:pPr>
        <w:jc w:val="center"/>
        <w:rPr>
          <w:b/>
          <w:sz w:val="28"/>
        </w:rPr>
      </w:pPr>
      <w:r w:rsidRPr="008641C2">
        <w:rPr>
          <w:b/>
          <w:sz w:val="28"/>
        </w:rPr>
        <w:t>Раздел 3. Инвестиционный отчет</w:t>
      </w:r>
    </w:p>
    <w:p w:rsidR="008641C2" w:rsidRPr="008641C2" w:rsidRDefault="008641C2" w:rsidP="008641C2">
      <w:pPr>
        <w:jc w:val="center"/>
        <w:rPr>
          <w:b/>
          <w:sz w:val="28"/>
          <w:szCs w:val="28"/>
        </w:rPr>
      </w:pPr>
    </w:p>
    <w:p w:rsidR="00E668FF" w:rsidRPr="00E668FF" w:rsidRDefault="00E668FF" w:rsidP="00E668FF">
      <w:pPr>
        <w:jc w:val="center"/>
        <w:rPr>
          <w:b/>
        </w:rPr>
      </w:pPr>
      <w:r w:rsidRPr="00E668FF">
        <w:rPr>
          <w:b/>
          <w:szCs w:val="28"/>
        </w:rPr>
        <w:t>3.1. Параметры инвестиционной деятельности</w:t>
      </w:r>
    </w:p>
    <w:p w:rsidR="00E668FF" w:rsidRPr="00E668FF" w:rsidRDefault="00E668FF" w:rsidP="00E668FF">
      <w:pPr>
        <w:suppressAutoHyphens/>
        <w:ind w:firstLine="720"/>
        <w:jc w:val="both"/>
      </w:pPr>
    </w:p>
    <w:p w:rsidR="00E668FF" w:rsidRPr="00E668FF" w:rsidRDefault="00E668FF" w:rsidP="00E668FF">
      <w:pPr>
        <w:autoSpaceDE w:val="0"/>
        <w:autoSpaceDN w:val="0"/>
        <w:adjustRightInd w:val="0"/>
        <w:ind w:left="1080"/>
        <w:jc w:val="center"/>
        <w:rPr>
          <w:b/>
        </w:rPr>
      </w:pPr>
      <w:r w:rsidRPr="00E668FF">
        <w:rPr>
          <w:b/>
        </w:rPr>
        <w:t>Выполнение инвестиционной программы Общества в 2014 году</w:t>
      </w:r>
    </w:p>
    <w:p w:rsidR="00E668FF" w:rsidRPr="00E668FF" w:rsidRDefault="00E668FF" w:rsidP="00E668FF">
      <w:pPr>
        <w:autoSpaceDE w:val="0"/>
        <w:autoSpaceDN w:val="0"/>
        <w:adjustRightInd w:val="0"/>
        <w:ind w:left="1080"/>
        <w:jc w:val="both"/>
        <w:rPr>
          <w:color w:val="FF0000"/>
        </w:rPr>
      </w:pPr>
    </w:p>
    <w:p w:rsidR="00E668FF" w:rsidRPr="00E668FF" w:rsidRDefault="00E668FF" w:rsidP="00E668FF">
      <w:pPr>
        <w:autoSpaceDE w:val="0"/>
        <w:autoSpaceDN w:val="0"/>
        <w:adjustRightInd w:val="0"/>
        <w:spacing w:after="240"/>
        <w:ind w:firstLine="567"/>
        <w:jc w:val="both"/>
      </w:pPr>
      <w:r w:rsidRPr="00E668FF">
        <w:t>Фактическое значение капитальных вложений в 2014 году  составило 5,69 млн. руб. без НДС, финансирование капитальных вложений составило 5,34 млн. руб. с НДС.</w:t>
      </w:r>
    </w:p>
    <w:p w:rsidR="00A82085" w:rsidRDefault="00A82085" w:rsidP="00E668FF">
      <w:pPr>
        <w:autoSpaceDE w:val="0"/>
        <w:autoSpaceDN w:val="0"/>
        <w:adjustRightInd w:val="0"/>
        <w:ind w:firstLine="567"/>
        <w:jc w:val="center"/>
        <w:rPr>
          <w:b/>
          <w:sz w:val="26"/>
          <w:szCs w:val="26"/>
        </w:rPr>
      </w:pPr>
    </w:p>
    <w:p w:rsidR="00A82085" w:rsidRDefault="00A82085" w:rsidP="00E668FF">
      <w:pPr>
        <w:autoSpaceDE w:val="0"/>
        <w:autoSpaceDN w:val="0"/>
        <w:adjustRightInd w:val="0"/>
        <w:ind w:firstLine="567"/>
        <w:jc w:val="center"/>
        <w:rPr>
          <w:b/>
          <w:sz w:val="26"/>
          <w:szCs w:val="26"/>
        </w:rPr>
      </w:pPr>
    </w:p>
    <w:p w:rsidR="00A82085" w:rsidRDefault="00A82085" w:rsidP="00E668FF">
      <w:pPr>
        <w:autoSpaceDE w:val="0"/>
        <w:autoSpaceDN w:val="0"/>
        <w:adjustRightInd w:val="0"/>
        <w:ind w:firstLine="567"/>
        <w:jc w:val="center"/>
        <w:rPr>
          <w:b/>
          <w:sz w:val="26"/>
          <w:szCs w:val="26"/>
        </w:rPr>
      </w:pPr>
    </w:p>
    <w:p w:rsidR="00A82085" w:rsidRDefault="00A82085" w:rsidP="00E668FF">
      <w:pPr>
        <w:autoSpaceDE w:val="0"/>
        <w:autoSpaceDN w:val="0"/>
        <w:adjustRightInd w:val="0"/>
        <w:ind w:firstLine="567"/>
        <w:jc w:val="center"/>
        <w:rPr>
          <w:b/>
          <w:sz w:val="26"/>
          <w:szCs w:val="26"/>
        </w:rPr>
      </w:pPr>
    </w:p>
    <w:p w:rsidR="00E668FF" w:rsidRPr="00E668FF" w:rsidRDefault="00E668FF" w:rsidP="00E668FF">
      <w:pPr>
        <w:autoSpaceDE w:val="0"/>
        <w:autoSpaceDN w:val="0"/>
        <w:adjustRightInd w:val="0"/>
        <w:ind w:firstLine="567"/>
        <w:jc w:val="center"/>
        <w:rPr>
          <w:b/>
          <w:sz w:val="26"/>
          <w:szCs w:val="26"/>
        </w:rPr>
      </w:pPr>
      <w:r w:rsidRPr="00E668FF">
        <w:rPr>
          <w:b/>
          <w:sz w:val="26"/>
          <w:szCs w:val="26"/>
        </w:rPr>
        <w:lastRenderedPageBreak/>
        <w:t>Выполнение инвестиционной программы Общества в 2014 г.</w:t>
      </w:r>
    </w:p>
    <w:tbl>
      <w:tblPr>
        <w:tblW w:w="4596" w:type="pct"/>
        <w:jc w:val="center"/>
        <w:tblInd w:w="-1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66"/>
        <w:gridCol w:w="1719"/>
        <w:gridCol w:w="1318"/>
        <w:gridCol w:w="2088"/>
      </w:tblGrid>
      <w:tr w:rsidR="00E668FF" w:rsidRPr="00E668FF" w:rsidTr="00247FEF">
        <w:trPr>
          <w:cantSplit/>
          <w:trHeight w:val="630"/>
          <w:jc w:val="center"/>
        </w:trPr>
        <w:tc>
          <w:tcPr>
            <w:tcW w:w="2164" w:type="pct"/>
            <w:vMerge w:val="restar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b/>
                <w:bCs/>
                <w:szCs w:val="20"/>
                <w:lang w:eastAsia="en-US"/>
              </w:rPr>
            </w:pPr>
            <w:r w:rsidRPr="00E668FF">
              <w:rPr>
                <w:sz w:val="26"/>
                <w:szCs w:val="26"/>
                <w:lang w:eastAsia="en-US"/>
              </w:rPr>
              <w:t xml:space="preserve"> </w:t>
            </w:r>
            <w:r w:rsidRPr="00E668FF">
              <w:rPr>
                <w:b/>
                <w:bCs/>
                <w:szCs w:val="20"/>
                <w:lang w:eastAsia="en-US"/>
              </w:rPr>
              <w:t>Наименование Общества</w:t>
            </w:r>
          </w:p>
        </w:tc>
        <w:tc>
          <w:tcPr>
            <w:tcW w:w="862"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b/>
                <w:bCs/>
                <w:szCs w:val="20"/>
                <w:lang w:eastAsia="en-US"/>
              </w:rPr>
            </w:pPr>
            <w:r w:rsidRPr="00E668FF">
              <w:rPr>
                <w:b/>
                <w:bCs/>
                <w:szCs w:val="20"/>
                <w:lang w:eastAsia="en-US"/>
              </w:rPr>
              <w:t xml:space="preserve">Капитальные вложения </w:t>
            </w:r>
          </w:p>
        </w:tc>
        <w:tc>
          <w:tcPr>
            <w:tcW w:w="787"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b/>
                <w:bCs/>
                <w:szCs w:val="20"/>
                <w:lang w:eastAsia="en-US"/>
              </w:rPr>
            </w:pPr>
            <w:r w:rsidRPr="00E668FF">
              <w:rPr>
                <w:b/>
                <w:bCs/>
                <w:szCs w:val="20"/>
                <w:lang w:eastAsia="en-US"/>
              </w:rPr>
              <w:t xml:space="preserve">Ввод ОФ </w:t>
            </w:r>
          </w:p>
        </w:tc>
        <w:tc>
          <w:tcPr>
            <w:tcW w:w="1187"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b/>
                <w:bCs/>
                <w:szCs w:val="20"/>
                <w:lang w:eastAsia="en-US"/>
              </w:rPr>
            </w:pPr>
            <w:r w:rsidRPr="00E668FF">
              <w:rPr>
                <w:b/>
                <w:bCs/>
                <w:szCs w:val="20"/>
                <w:lang w:eastAsia="en-US"/>
              </w:rPr>
              <w:t xml:space="preserve">Финансирование </w:t>
            </w:r>
          </w:p>
        </w:tc>
      </w:tr>
      <w:tr w:rsidR="00E668FF" w:rsidRPr="00E668FF" w:rsidTr="00247FEF">
        <w:trPr>
          <w:cantSplit/>
          <w:trHeight w:val="31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rPr>
                <w:b/>
                <w:bCs/>
                <w:szCs w:val="20"/>
                <w:lang w:eastAsia="en-US"/>
              </w:rPr>
            </w:pPr>
          </w:p>
        </w:tc>
        <w:tc>
          <w:tcPr>
            <w:tcW w:w="862"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szCs w:val="20"/>
                <w:lang w:eastAsia="en-US"/>
              </w:rPr>
            </w:pPr>
            <w:r w:rsidRPr="00E668FF">
              <w:rPr>
                <w:szCs w:val="20"/>
                <w:lang w:eastAsia="en-US"/>
              </w:rPr>
              <w:t>млн. руб., без НДС</w:t>
            </w:r>
          </w:p>
        </w:tc>
        <w:tc>
          <w:tcPr>
            <w:tcW w:w="787"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szCs w:val="20"/>
                <w:lang w:eastAsia="en-US"/>
              </w:rPr>
            </w:pPr>
            <w:r w:rsidRPr="00E668FF">
              <w:rPr>
                <w:szCs w:val="20"/>
                <w:lang w:eastAsia="en-US"/>
              </w:rPr>
              <w:t>млн. руб., без НДС</w:t>
            </w:r>
          </w:p>
        </w:tc>
        <w:tc>
          <w:tcPr>
            <w:tcW w:w="1187"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szCs w:val="20"/>
                <w:lang w:eastAsia="en-US"/>
              </w:rPr>
            </w:pPr>
            <w:r w:rsidRPr="00E668FF">
              <w:rPr>
                <w:szCs w:val="20"/>
                <w:lang w:eastAsia="en-US"/>
              </w:rPr>
              <w:t>млн. руб., с НДС</w:t>
            </w:r>
          </w:p>
        </w:tc>
      </w:tr>
      <w:tr w:rsidR="00E668FF" w:rsidRPr="00E668FF" w:rsidTr="00247FEF">
        <w:trPr>
          <w:trHeight w:val="508"/>
          <w:jc w:val="center"/>
        </w:trPr>
        <w:tc>
          <w:tcPr>
            <w:tcW w:w="2164"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both"/>
              <w:rPr>
                <w:szCs w:val="20"/>
                <w:lang w:eastAsia="en-US"/>
              </w:rPr>
            </w:pPr>
            <w:r w:rsidRPr="00E668FF">
              <w:rPr>
                <w:szCs w:val="20"/>
                <w:lang w:eastAsia="en-US"/>
              </w:rPr>
              <w:t>ОАО «Каббалкэнерго»</w:t>
            </w:r>
          </w:p>
        </w:tc>
        <w:tc>
          <w:tcPr>
            <w:tcW w:w="862"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lang w:eastAsia="en-US"/>
              </w:rPr>
            </w:pPr>
            <w:r w:rsidRPr="00E668FF">
              <w:rPr>
                <w:lang w:eastAsia="en-US"/>
              </w:rPr>
              <w:t>5,68</w:t>
            </w:r>
          </w:p>
        </w:tc>
        <w:tc>
          <w:tcPr>
            <w:tcW w:w="787" w:type="pct"/>
            <w:tcBorders>
              <w:top w:val="single" w:sz="4" w:space="0" w:color="auto"/>
              <w:left w:val="single" w:sz="4" w:space="0" w:color="auto"/>
              <w:bottom w:val="single" w:sz="4" w:space="0" w:color="auto"/>
              <w:right w:val="single" w:sz="4" w:space="0" w:color="auto"/>
            </w:tcBorders>
            <w:vAlign w:val="center"/>
            <w:hideMark/>
          </w:tcPr>
          <w:p w:rsidR="00E668FF" w:rsidRPr="00E668FF" w:rsidRDefault="00E668FF" w:rsidP="00E668FF">
            <w:pPr>
              <w:jc w:val="center"/>
              <w:rPr>
                <w:lang w:eastAsia="en-US"/>
              </w:rPr>
            </w:pPr>
            <w:r w:rsidRPr="00E668FF">
              <w:rPr>
                <w:lang w:eastAsia="en-US"/>
              </w:rPr>
              <w:t>5,69</w:t>
            </w:r>
          </w:p>
        </w:tc>
        <w:tc>
          <w:tcPr>
            <w:tcW w:w="1187" w:type="pct"/>
            <w:tcBorders>
              <w:top w:val="single" w:sz="4" w:space="0" w:color="auto"/>
              <w:left w:val="single" w:sz="4" w:space="0" w:color="auto"/>
              <w:bottom w:val="single" w:sz="4" w:space="0" w:color="auto"/>
              <w:right w:val="single" w:sz="4" w:space="0" w:color="auto"/>
            </w:tcBorders>
            <w:noWrap/>
            <w:vAlign w:val="center"/>
            <w:hideMark/>
          </w:tcPr>
          <w:p w:rsidR="00E668FF" w:rsidRPr="00E668FF" w:rsidRDefault="00E668FF" w:rsidP="00E668FF">
            <w:pPr>
              <w:jc w:val="center"/>
              <w:rPr>
                <w:lang w:eastAsia="en-US"/>
              </w:rPr>
            </w:pPr>
            <w:r w:rsidRPr="00E668FF">
              <w:rPr>
                <w:lang w:eastAsia="en-US"/>
              </w:rPr>
              <w:t>6,44</w:t>
            </w:r>
          </w:p>
        </w:tc>
      </w:tr>
    </w:tbl>
    <w:p w:rsidR="00E668FF" w:rsidRPr="00E668FF" w:rsidRDefault="00E668FF" w:rsidP="000D3868">
      <w:pPr>
        <w:autoSpaceDE w:val="0"/>
        <w:autoSpaceDN w:val="0"/>
        <w:adjustRightInd w:val="0"/>
        <w:rPr>
          <w:color w:val="FF0000"/>
        </w:rPr>
      </w:pPr>
    </w:p>
    <w:p w:rsidR="00E668FF" w:rsidRPr="00E668FF" w:rsidRDefault="00E668FF" w:rsidP="00E668FF">
      <w:pPr>
        <w:autoSpaceDE w:val="0"/>
        <w:autoSpaceDN w:val="0"/>
        <w:adjustRightInd w:val="0"/>
        <w:ind w:left="1080"/>
        <w:jc w:val="center"/>
        <w:rPr>
          <w:b/>
        </w:rPr>
      </w:pPr>
      <w:r w:rsidRPr="00E668FF">
        <w:rPr>
          <w:b/>
        </w:rPr>
        <w:t>Объем капитальных вложений за 2011-2014 гг., млн. руб. с НДС</w:t>
      </w:r>
    </w:p>
    <w:tbl>
      <w:tblPr>
        <w:tblW w:w="5000" w:type="pct"/>
        <w:tblLook w:val="04A0" w:firstRow="1" w:lastRow="0" w:firstColumn="1" w:lastColumn="0" w:noHBand="0" w:noVBand="1"/>
      </w:tblPr>
      <w:tblGrid>
        <w:gridCol w:w="2299"/>
        <w:gridCol w:w="993"/>
        <w:gridCol w:w="993"/>
        <w:gridCol w:w="993"/>
        <w:gridCol w:w="938"/>
        <w:gridCol w:w="1159"/>
        <w:gridCol w:w="1159"/>
        <w:gridCol w:w="1139"/>
      </w:tblGrid>
      <w:tr w:rsidR="00E668FF" w:rsidRPr="00E668FF" w:rsidTr="00247FEF">
        <w:trPr>
          <w:trHeight w:val="765"/>
        </w:trPr>
        <w:tc>
          <w:tcPr>
            <w:tcW w:w="118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Наименование Общества</w:t>
            </w:r>
          </w:p>
        </w:tc>
        <w:tc>
          <w:tcPr>
            <w:tcW w:w="513"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2011 г.</w:t>
            </w:r>
          </w:p>
        </w:tc>
        <w:tc>
          <w:tcPr>
            <w:tcW w:w="513"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2012 г.</w:t>
            </w:r>
          </w:p>
        </w:tc>
        <w:tc>
          <w:tcPr>
            <w:tcW w:w="513"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2013 г.</w:t>
            </w:r>
          </w:p>
        </w:tc>
        <w:tc>
          <w:tcPr>
            <w:tcW w:w="485"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2014 г.</w:t>
            </w:r>
          </w:p>
        </w:tc>
        <w:tc>
          <w:tcPr>
            <w:tcW w:w="599"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Прирост 2012/2011,  %</w:t>
            </w:r>
          </w:p>
        </w:tc>
        <w:tc>
          <w:tcPr>
            <w:tcW w:w="599"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Прирост 2013/2012, %</w:t>
            </w:r>
          </w:p>
        </w:tc>
        <w:tc>
          <w:tcPr>
            <w:tcW w:w="589"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Прирост 2014/2013,         %</w:t>
            </w:r>
          </w:p>
        </w:tc>
      </w:tr>
      <w:tr w:rsidR="00E668FF" w:rsidRPr="00E668FF" w:rsidTr="00247FEF">
        <w:trPr>
          <w:trHeight w:val="690"/>
        </w:trPr>
        <w:tc>
          <w:tcPr>
            <w:tcW w:w="1188" w:type="pct"/>
            <w:tcBorders>
              <w:top w:val="nil"/>
              <w:left w:val="single" w:sz="4" w:space="0" w:color="auto"/>
              <w:bottom w:val="single" w:sz="4" w:space="0" w:color="auto"/>
              <w:right w:val="single" w:sz="4" w:space="0" w:color="auto"/>
            </w:tcBorders>
            <w:shd w:val="clear" w:color="auto" w:fill="auto"/>
            <w:vAlign w:val="center"/>
            <w:hideMark/>
          </w:tcPr>
          <w:p w:rsidR="00E668FF" w:rsidRPr="00E668FF" w:rsidRDefault="00E668FF" w:rsidP="00E668FF">
            <w:pPr>
              <w:jc w:val="both"/>
              <w:rPr>
                <w:sz w:val="20"/>
                <w:szCs w:val="20"/>
              </w:rPr>
            </w:pPr>
            <w:r w:rsidRPr="00E668FF">
              <w:rPr>
                <w:sz w:val="20"/>
                <w:szCs w:val="20"/>
              </w:rPr>
              <w:t>ОАО «Каббалкэнерго»</w:t>
            </w:r>
          </w:p>
        </w:tc>
        <w:tc>
          <w:tcPr>
            <w:tcW w:w="513"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4,99</w:t>
            </w:r>
          </w:p>
        </w:tc>
        <w:tc>
          <w:tcPr>
            <w:tcW w:w="513"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4,99</w:t>
            </w:r>
          </w:p>
        </w:tc>
        <w:tc>
          <w:tcPr>
            <w:tcW w:w="513"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7,26</w:t>
            </w:r>
          </w:p>
        </w:tc>
        <w:tc>
          <w:tcPr>
            <w:tcW w:w="48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6,44</w:t>
            </w:r>
          </w:p>
        </w:tc>
        <w:tc>
          <w:tcPr>
            <w:tcW w:w="599"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0,0%</w:t>
            </w:r>
          </w:p>
        </w:tc>
        <w:tc>
          <w:tcPr>
            <w:tcW w:w="599"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45,4%</w:t>
            </w:r>
          </w:p>
        </w:tc>
        <w:tc>
          <w:tcPr>
            <w:tcW w:w="589"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0"/>
                <w:szCs w:val="20"/>
              </w:rPr>
            </w:pPr>
            <w:r w:rsidRPr="00E668FF">
              <w:rPr>
                <w:sz w:val="20"/>
                <w:szCs w:val="20"/>
              </w:rPr>
              <w:t>-11,3%</w:t>
            </w:r>
          </w:p>
        </w:tc>
      </w:tr>
    </w:tbl>
    <w:p w:rsidR="00E668FF" w:rsidRPr="00E668FF" w:rsidRDefault="00E668FF" w:rsidP="00E668FF">
      <w:pPr>
        <w:autoSpaceDE w:val="0"/>
        <w:autoSpaceDN w:val="0"/>
        <w:adjustRightInd w:val="0"/>
        <w:ind w:left="1080"/>
        <w:jc w:val="center"/>
        <w:rPr>
          <w:b/>
          <w:color w:val="FF0000"/>
        </w:rPr>
      </w:pPr>
    </w:p>
    <w:p w:rsidR="00E668FF" w:rsidRPr="00E668FF" w:rsidRDefault="00E668FF" w:rsidP="00E668FF">
      <w:pPr>
        <w:suppressAutoHyphens/>
        <w:ind w:firstLine="709"/>
        <w:jc w:val="both"/>
      </w:pPr>
      <w:r w:rsidRPr="00E668FF">
        <w:t>По сравнению с 2013 годом объем капитальных вложений в 2014 году уменьшился на 0,82 млн. руб. или на 11,3%.</w:t>
      </w:r>
    </w:p>
    <w:p w:rsidR="00E668FF" w:rsidRPr="00E668FF" w:rsidRDefault="00E668FF" w:rsidP="00E668FF">
      <w:pPr>
        <w:suppressAutoHyphens/>
        <w:ind w:firstLine="709"/>
        <w:jc w:val="both"/>
        <w:rPr>
          <w:color w:val="FF0000"/>
        </w:rPr>
      </w:pPr>
    </w:p>
    <w:p w:rsidR="00E668FF" w:rsidRPr="00E668FF" w:rsidRDefault="00E668FF" w:rsidP="00E668FF">
      <w:pPr>
        <w:autoSpaceDE w:val="0"/>
        <w:autoSpaceDN w:val="0"/>
        <w:adjustRightInd w:val="0"/>
        <w:jc w:val="center"/>
        <w:rPr>
          <w:b/>
        </w:rPr>
      </w:pPr>
      <w:r w:rsidRPr="00E668FF">
        <w:rPr>
          <w:b/>
        </w:rPr>
        <w:t>Динамика капитальных вложений Общества за период 2011-2014 гг., млн. руб. с НДС</w:t>
      </w:r>
    </w:p>
    <w:p w:rsidR="00E668FF" w:rsidRPr="00E668FF" w:rsidRDefault="00E668FF" w:rsidP="000D3868">
      <w:pPr>
        <w:autoSpaceDE w:val="0"/>
        <w:autoSpaceDN w:val="0"/>
        <w:adjustRightInd w:val="0"/>
        <w:rPr>
          <w:b/>
          <w:color w:val="FF0000"/>
        </w:rPr>
      </w:pPr>
    </w:p>
    <w:p w:rsidR="00E668FF" w:rsidRPr="00E668FF" w:rsidRDefault="00E668FF" w:rsidP="00E668FF">
      <w:pPr>
        <w:autoSpaceDE w:val="0"/>
        <w:autoSpaceDN w:val="0"/>
        <w:adjustRightInd w:val="0"/>
        <w:jc w:val="center"/>
        <w:rPr>
          <w:b/>
          <w:color w:val="FF0000"/>
        </w:rPr>
      </w:pPr>
      <w:r w:rsidRPr="00E668FF">
        <w:rPr>
          <w:noProof/>
        </w:rPr>
        <w:drawing>
          <wp:inline distT="0" distB="0" distL="0" distR="0" wp14:anchorId="0A44F17D" wp14:editId="11F108ED">
            <wp:extent cx="5362575" cy="2800350"/>
            <wp:effectExtent l="0" t="0" r="9525" b="19050"/>
            <wp:docPr id="33" name="Диаграмма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E668FF" w:rsidRPr="00E668FF" w:rsidRDefault="00E668FF" w:rsidP="00E668FF">
      <w:pPr>
        <w:autoSpaceDE w:val="0"/>
        <w:autoSpaceDN w:val="0"/>
        <w:adjustRightInd w:val="0"/>
        <w:rPr>
          <w:b/>
          <w:szCs w:val="28"/>
        </w:rPr>
      </w:pPr>
    </w:p>
    <w:p w:rsidR="00E668FF" w:rsidRPr="00E668FF" w:rsidRDefault="00E668FF" w:rsidP="00E668FF">
      <w:pPr>
        <w:autoSpaceDE w:val="0"/>
        <w:autoSpaceDN w:val="0"/>
        <w:adjustRightInd w:val="0"/>
        <w:jc w:val="center"/>
        <w:rPr>
          <w:b/>
          <w:szCs w:val="28"/>
        </w:rPr>
      </w:pPr>
    </w:p>
    <w:p w:rsidR="00E668FF" w:rsidRPr="000D3868" w:rsidRDefault="00E668FF" w:rsidP="00E668FF">
      <w:pPr>
        <w:autoSpaceDE w:val="0"/>
        <w:autoSpaceDN w:val="0"/>
        <w:adjustRightInd w:val="0"/>
        <w:jc w:val="center"/>
        <w:rPr>
          <w:b/>
          <w:sz w:val="28"/>
          <w:szCs w:val="28"/>
        </w:rPr>
      </w:pPr>
      <w:r w:rsidRPr="000D3868">
        <w:rPr>
          <w:b/>
          <w:sz w:val="28"/>
          <w:szCs w:val="28"/>
        </w:rPr>
        <w:t>3.2. Направления и структура финансирования капитальных вложений</w:t>
      </w:r>
    </w:p>
    <w:p w:rsidR="00E668FF" w:rsidRPr="00E668FF" w:rsidRDefault="00E668FF" w:rsidP="00E668FF">
      <w:pPr>
        <w:autoSpaceDE w:val="0"/>
        <w:autoSpaceDN w:val="0"/>
        <w:adjustRightInd w:val="0"/>
        <w:jc w:val="center"/>
        <w:rPr>
          <w:b/>
          <w:color w:val="FF0000"/>
          <w:sz w:val="28"/>
          <w:szCs w:val="28"/>
        </w:rPr>
      </w:pPr>
    </w:p>
    <w:p w:rsidR="00E668FF" w:rsidRPr="00E668FF" w:rsidRDefault="00E668FF" w:rsidP="00E668FF">
      <w:pPr>
        <w:suppressAutoHyphens/>
        <w:ind w:firstLine="709"/>
        <w:jc w:val="both"/>
      </w:pPr>
      <w:r w:rsidRPr="00E668FF">
        <w:t>Основным направлением инвестиций для ОАО «Каббалкэнерго» является приобретение объектов основных средств, не требующих монтажа: оргтехника, автомобили легковые и мебель.</w:t>
      </w:r>
    </w:p>
    <w:p w:rsidR="00E668FF" w:rsidRPr="00E668FF" w:rsidRDefault="00E668FF"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0D3868" w:rsidRDefault="000D3868" w:rsidP="00E668FF">
      <w:pPr>
        <w:autoSpaceDE w:val="0"/>
        <w:autoSpaceDN w:val="0"/>
        <w:adjustRightInd w:val="0"/>
        <w:jc w:val="center"/>
        <w:rPr>
          <w:b/>
          <w:bCs/>
        </w:rPr>
      </w:pPr>
    </w:p>
    <w:p w:rsidR="00E668FF" w:rsidRPr="00E668FF" w:rsidRDefault="00E668FF" w:rsidP="00E668FF">
      <w:pPr>
        <w:autoSpaceDE w:val="0"/>
        <w:autoSpaceDN w:val="0"/>
        <w:adjustRightInd w:val="0"/>
        <w:jc w:val="center"/>
        <w:rPr>
          <w:b/>
          <w:bCs/>
        </w:rPr>
      </w:pPr>
      <w:r w:rsidRPr="00E668FF">
        <w:rPr>
          <w:b/>
          <w:bCs/>
        </w:rPr>
        <w:lastRenderedPageBreak/>
        <w:t>Направления инвестиционной деятельности Общества</w:t>
      </w:r>
    </w:p>
    <w:p w:rsidR="00E668FF" w:rsidRPr="00E668FF" w:rsidRDefault="00E668FF" w:rsidP="00E668FF">
      <w:pPr>
        <w:autoSpaceDE w:val="0"/>
        <w:autoSpaceDN w:val="0"/>
        <w:adjustRightInd w:val="0"/>
        <w:jc w:val="center"/>
        <w:rPr>
          <w:b/>
        </w:rPr>
      </w:pPr>
      <w:r w:rsidRPr="00E668FF">
        <w:rPr>
          <w:b/>
          <w:bCs/>
        </w:rPr>
        <w:t>за период 2011–2014 гг., м</w:t>
      </w:r>
      <w:r w:rsidRPr="00E668FF">
        <w:rPr>
          <w:b/>
        </w:rPr>
        <w:t>лн. руб. с  НДС</w:t>
      </w:r>
    </w:p>
    <w:p w:rsidR="00E668FF" w:rsidRPr="00E668FF" w:rsidRDefault="00E668FF" w:rsidP="00E668FF">
      <w:pPr>
        <w:autoSpaceDE w:val="0"/>
        <w:autoSpaceDN w:val="0"/>
        <w:adjustRightInd w:val="0"/>
        <w:jc w:val="center"/>
        <w:rPr>
          <w:b/>
        </w:rPr>
      </w:pPr>
    </w:p>
    <w:tbl>
      <w:tblPr>
        <w:tblW w:w="4740" w:type="pct"/>
        <w:jc w:val="center"/>
        <w:tblLook w:val="04A0" w:firstRow="1" w:lastRow="0" w:firstColumn="1" w:lastColumn="0" w:noHBand="0" w:noVBand="1"/>
      </w:tblPr>
      <w:tblGrid>
        <w:gridCol w:w="5146"/>
        <w:gridCol w:w="1398"/>
        <w:gridCol w:w="1295"/>
        <w:gridCol w:w="1331"/>
      </w:tblGrid>
      <w:tr w:rsidR="00E668FF" w:rsidRPr="00E668FF" w:rsidTr="00247FEF">
        <w:trPr>
          <w:trHeight w:val="659"/>
          <w:jc w:val="center"/>
        </w:trPr>
        <w:tc>
          <w:tcPr>
            <w:tcW w:w="2806" w:type="pct"/>
            <w:tcBorders>
              <w:top w:val="single" w:sz="4" w:space="0" w:color="auto"/>
              <w:left w:val="single" w:sz="4" w:space="0" w:color="auto"/>
              <w:bottom w:val="nil"/>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Наименование группы приобретенных основных средств</w:t>
            </w:r>
          </w:p>
        </w:tc>
        <w:tc>
          <w:tcPr>
            <w:tcW w:w="762" w:type="pct"/>
            <w:tcBorders>
              <w:top w:val="single" w:sz="4" w:space="0" w:color="auto"/>
              <w:left w:val="nil"/>
              <w:bottom w:val="nil"/>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 xml:space="preserve">2012 г. </w:t>
            </w:r>
          </w:p>
        </w:tc>
        <w:tc>
          <w:tcPr>
            <w:tcW w:w="706" w:type="pct"/>
            <w:tcBorders>
              <w:top w:val="single" w:sz="4" w:space="0" w:color="auto"/>
              <w:left w:val="nil"/>
              <w:bottom w:val="nil"/>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2013 г.</w:t>
            </w:r>
          </w:p>
        </w:tc>
        <w:tc>
          <w:tcPr>
            <w:tcW w:w="726" w:type="pct"/>
            <w:tcBorders>
              <w:top w:val="single" w:sz="4" w:space="0" w:color="auto"/>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2014 г.</w:t>
            </w:r>
          </w:p>
        </w:tc>
      </w:tr>
      <w:tr w:rsidR="00E668FF" w:rsidRPr="00E668FF" w:rsidTr="00247FEF">
        <w:trPr>
          <w:trHeight w:val="300"/>
          <w:jc w:val="center"/>
        </w:trPr>
        <w:tc>
          <w:tcPr>
            <w:tcW w:w="2806"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both"/>
              <w:rPr>
                <w:b/>
                <w:bCs/>
                <w:sz w:val="20"/>
                <w:szCs w:val="20"/>
              </w:rPr>
            </w:pPr>
            <w:r w:rsidRPr="00E668FF">
              <w:rPr>
                <w:b/>
                <w:bCs/>
                <w:sz w:val="20"/>
                <w:szCs w:val="20"/>
              </w:rPr>
              <w:t>Капитальные вложения, всего</w:t>
            </w:r>
          </w:p>
        </w:tc>
        <w:tc>
          <w:tcPr>
            <w:tcW w:w="762" w:type="pct"/>
            <w:tcBorders>
              <w:top w:val="single" w:sz="4" w:space="0" w:color="auto"/>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4,99</w:t>
            </w:r>
          </w:p>
        </w:tc>
        <w:tc>
          <w:tcPr>
            <w:tcW w:w="706" w:type="pct"/>
            <w:tcBorders>
              <w:top w:val="single" w:sz="4" w:space="0" w:color="auto"/>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7,26</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6,71</w:t>
            </w:r>
          </w:p>
        </w:tc>
      </w:tr>
      <w:tr w:rsidR="00E668FF" w:rsidRPr="00E668FF" w:rsidTr="00247FEF">
        <w:trPr>
          <w:trHeight w:val="295"/>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both"/>
              <w:rPr>
                <w:sz w:val="20"/>
                <w:szCs w:val="20"/>
              </w:rPr>
            </w:pPr>
            <w:r w:rsidRPr="00E668FF">
              <w:rPr>
                <w:sz w:val="20"/>
                <w:szCs w:val="20"/>
              </w:rPr>
              <w:t>Оргтехника, в т.ч.:</w:t>
            </w:r>
          </w:p>
        </w:tc>
        <w:tc>
          <w:tcPr>
            <w:tcW w:w="762" w:type="pct"/>
            <w:tcBorders>
              <w:top w:val="nil"/>
              <w:left w:val="nil"/>
              <w:bottom w:val="nil"/>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3,61</w:t>
            </w:r>
          </w:p>
        </w:tc>
        <w:tc>
          <w:tcPr>
            <w:tcW w:w="706" w:type="pct"/>
            <w:tcBorders>
              <w:top w:val="nil"/>
              <w:left w:val="nil"/>
              <w:bottom w:val="nil"/>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2,41</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4,41</w:t>
            </w:r>
          </w:p>
        </w:tc>
      </w:tr>
      <w:tr w:rsidR="00E668FF" w:rsidRPr="00E668FF" w:rsidTr="00247FEF">
        <w:trPr>
          <w:trHeight w:val="276"/>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Компьютеры</w:t>
            </w:r>
          </w:p>
        </w:tc>
        <w:tc>
          <w:tcPr>
            <w:tcW w:w="762" w:type="pct"/>
            <w:tcBorders>
              <w:top w:val="single" w:sz="4" w:space="0" w:color="auto"/>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1,22</w:t>
            </w:r>
          </w:p>
        </w:tc>
        <w:tc>
          <w:tcPr>
            <w:tcW w:w="706" w:type="pct"/>
            <w:tcBorders>
              <w:top w:val="single" w:sz="4" w:space="0" w:color="auto"/>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1,13</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1,69</w:t>
            </w:r>
          </w:p>
        </w:tc>
      </w:tr>
      <w:tr w:rsidR="00E668FF" w:rsidRPr="00E668FF" w:rsidTr="00247FEF">
        <w:trPr>
          <w:trHeight w:val="276"/>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Принтеры, копиры, сканеры и МФУ</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0,17</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0,83</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0,30</w:t>
            </w:r>
          </w:p>
        </w:tc>
      </w:tr>
      <w:tr w:rsidR="00E668FF" w:rsidRPr="00E668FF" w:rsidTr="00247FEF">
        <w:trPr>
          <w:trHeight w:val="276"/>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Сервер</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0,35</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0,39</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2,42</w:t>
            </w:r>
          </w:p>
        </w:tc>
      </w:tr>
      <w:tr w:rsidR="00E668FF" w:rsidRPr="00E668FF" w:rsidTr="00247FEF">
        <w:trPr>
          <w:trHeight w:val="201"/>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Система контроля доступа к информации</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1,62</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0,00</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0,00</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Прочее</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0,26</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0,06</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sz w:val="20"/>
                <w:szCs w:val="20"/>
              </w:rPr>
            </w:pPr>
            <w:r w:rsidRPr="00E668FF">
              <w:rPr>
                <w:sz w:val="20"/>
                <w:szCs w:val="20"/>
              </w:rPr>
              <w:t>0,00</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both"/>
              <w:rPr>
                <w:sz w:val="20"/>
                <w:szCs w:val="20"/>
              </w:rPr>
            </w:pPr>
            <w:r w:rsidRPr="00E668FF">
              <w:rPr>
                <w:sz w:val="20"/>
                <w:szCs w:val="20"/>
              </w:rPr>
              <w:t>Мебель,  в т.ч.:</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0,25</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0,67</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0,73</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Столы</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0,12</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0,27</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0,58</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Диван</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0,00</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0,00</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0,08</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Шкафы</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0,13</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0,40</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0,07</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both"/>
              <w:rPr>
                <w:sz w:val="20"/>
                <w:szCs w:val="20"/>
              </w:rPr>
            </w:pPr>
            <w:r w:rsidRPr="00E668FF">
              <w:rPr>
                <w:sz w:val="20"/>
                <w:szCs w:val="20"/>
              </w:rPr>
              <w:t>Автомобили, в т.ч:</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1,13</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4,18</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1,48</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 xml:space="preserve">Автомобили легковые Лада </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1,13</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4,18</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1,48</w:t>
            </w:r>
          </w:p>
        </w:tc>
      </w:tr>
      <w:tr w:rsidR="00E668FF" w:rsidRPr="00E668FF" w:rsidTr="00247FEF">
        <w:trPr>
          <w:trHeight w:val="300"/>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both"/>
              <w:rPr>
                <w:sz w:val="20"/>
                <w:szCs w:val="20"/>
              </w:rPr>
            </w:pPr>
            <w:r w:rsidRPr="00E668FF">
              <w:rPr>
                <w:sz w:val="20"/>
                <w:szCs w:val="20"/>
              </w:rPr>
              <w:t>Прочее, в т.ч.:</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0,00</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0,00</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b/>
                <w:bCs/>
                <w:sz w:val="20"/>
                <w:szCs w:val="20"/>
              </w:rPr>
            </w:pPr>
            <w:r w:rsidRPr="00E668FF">
              <w:rPr>
                <w:b/>
                <w:bCs/>
                <w:sz w:val="20"/>
                <w:szCs w:val="20"/>
              </w:rPr>
              <w:t>0,09</w:t>
            </w:r>
          </w:p>
        </w:tc>
      </w:tr>
      <w:tr w:rsidR="00E668FF" w:rsidRPr="00E668FF" w:rsidTr="00247FEF">
        <w:trPr>
          <w:trHeight w:val="252"/>
          <w:jc w:val="center"/>
        </w:trPr>
        <w:tc>
          <w:tcPr>
            <w:tcW w:w="2806" w:type="pct"/>
            <w:tcBorders>
              <w:top w:val="nil"/>
              <w:left w:val="single" w:sz="4" w:space="0" w:color="auto"/>
              <w:bottom w:val="single" w:sz="4" w:space="0" w:color="auto"/>
              <w:right w:val="single" w:sz="4" w:space="0" w:color="auto"/>
            </w:tcBorders>
            <w:shd w:val="clear" w:color="000000" w:fill="FFFFFF"/>
            <w:vAlign w:val="center"/>
            <w:hideMark/>
          </w:tcPr>
          <w:p w:rsidR="00E668FF" w:rsidRPr="00E668FF" w:rsidRDefault="00E668FF" w:rsidP="00E668FF">
            <w:pPr>
              <w:jc w:val="right"/>
              <w:rPr>
                <w:i/>
                <w:iCs/>
                <w:sz w:val="20"/>
                <w:szCs w:val="20"/>
              </w:rPr>
            </w:pPr>
            <w:r w:rsidRPr="00E668FF">
              <w:rPr>
                <w:i/>
                <w:iCs/>
                <w:sz w:val="20"/>
                <w:szCs w:val="20"/>
              </w:rPr>
              <w:t>Капитальный ремонт административного здания</w:t>
            </w:r>
          </w:p>
        </w:tc>
        <w:tc>
          <w:tcPr>
            <w:tcW w:w="762"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0,00</w:t>
            </w:r>
          </w:p>
        </w:tc>
        <w:tc>
          <w:tcPr>
            <w:tcW w:w="70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0,00</w:t>
            </w:r>
          </w:p>
        </w:tc>
        <w:tc>
          <w:tcPr>
            <w:tcW w:w="726" w:type="pct"/>
            <w:tcBorders>
              <w:top w:val="nil"/>
              <w:left w:val="nil"/>
              <w:bottom w:val="single" w:sz="4" w:space="0" w:color="auto"/>
              <w:right w:val="single" w:sz="4" w:space="0" w:color="auto"/>
            </w:tcBorders>
            <w:shd w:val="clear" w:color="000000" w:fill="FFFFFF"/>
            <w:vAlign w:val="center"/>
            <w:hideMark/>
          </w:tcPr>
          <w:p w:rsidR="00E668FF" w:rsidRPr="00E668FF" w:rsidRDefault="00E668FF" w:rsidP="00E668FF">
            <w:pPr>
              <w:jc w:val="center"/>
              <w:rPr>
                <w:i/>
                <w:iCs/>
                <w:sz w:val="20"/>
                <w:szCs w:val="20"/>
              </w:rPr>
            </w:pPr>
            <w:r w:rsidRPr="00E668FF">
              <w:rPr>
                <w:i/>
                <w:iCs/>
                <w:sz w:val="20"/>
                <w:szCs w:val="20"/>
              </w:rPr>
              <w:t>0,09</w:t>
            </w:r>
          </w:p>
        </w:tc>
      </w:tr>
    </w:tbl>
    <w:p w:rsidR="00E668FF" w:rsidRPr="00E668FF" w:rsidRDefault="00E668FF" w:rsidP="00E668FF">
      <w:pPr>
        <w:autoSpaceDE w:val="0"/>
        <w:autoSpaceDN w:val="0"/>
        <w:adjustRightInd w:val="0"/>
        <w:ind w:firstLine="709"/>
        <w:jc w:val="both"/>
      </w:pPr>
    </w:p>
    <w:p w:rsidR="00E668FF" w:rsidRPr="00E668FF" w:rsidRDefault="00E668FF" w:rsidP="00E668FF">
      <w:pPr>
        <w:autoSpaceDE w:val="0"/>
        <w:autoSpaceDN w:val="0"/>
        <w:adjustRightInd w:val="0"/>
        <w:ind w:firstLine="709"/>
        <w:jc w:val="both"/>
      </w:pPr>
      <w:r w:rsidRPr="00E668FF">
        <w:t>Доля основных средств, не требующих монтажа, в структуре капитальных вложений составляет 100%.</w:t>
      </w:r>
    </w:p>
    <w:p w:rsidR="00E668FF" w:rsidRDefault="00E668FF" w:rsidP="000D3868">
      <w:pPr>
        <w:autoSpaceDE w:val="0"/>
        <w:autoSpaceDN w:val="0"/>
        <w:adjustRightInd w:val="0"/>
        <w:rPr>
          <w:b/>
        </w:rPr>
      </w:pPr>
    </w:p>
    <w:p w:rsidR="00E668FF" w:rsidRPr="00E668FF" w:rsidRDefault="00E668FF" w:rsidP="00E668FF">
      <w:pPr>
        <w:autoSpaceDE w:val="0"/>
        <w:autoSpaceDN w:val="0"/>
        <w:adjustRightInd w:val="0"/>
        <w:jc w:val="center"/>
        <w:rPr>
          <w:b/>
        </w:rPr>
      </w:pPr>
      <w:r w:rsidRPr="00E668FF">
        <w:rPr>
          <w:b/>
        </w:rPr>
        <w:t>Структура финансирования капитальных вложений ОАО «Каббалкэнерго»                          в 2014 году</w:t>
      </w:r>
    </w:p>
    <w:p w:rsidR="00E668FF" w:rsidRPr="00E668FF" w:rsidRDefault="00E668FF" w:rsidP="00E668FF">
      <w:pPr>
        <w:autoSpaceDE w:val="0"/>
        <w:autoSpaceDN w:val="0"/>
        <w:adjustRightInd w:val="0"/>
        <w:jc w:val="center"/>
        <w:rPr>
          <w:b/>
        </w:rPr>
      </w:pPr>
    </w:p>
    <w:p w:rsidR="00E668FF" w:rsidRPr="00E668FF" w:rsidRDefault="00E668FF" w:rsidP="00E668FF">
      <w:pPr>
        <w:suppressAutoHyphens/>
        <w:ind w:firstLine="709"/>
        <w:rPr>
          <w:b/>
          <w:color w:val="FF0000"/>
          <w:szCs w:val="20"/>
        </w:rPr>
      </w:pPr>
      <w:r w:rsidRPr="00E668FF">
        <w:rPr>
          <w:noProof/>
        </w:rPr>
        <w:drawing>
          <wp:inline distT="0" distB="0" distL="0" distR="0" wp14:anchorId="58732BC7" wp14:editId="556358C5">
            <wp:extent cx="4572000" cy="2743200"/>
            <wp:effectExtent l="0" t="0" r="19050" b="1905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668FF" w:rsidRPr="00E668FF" w:rsidRDefault="00E668FF" w:rsidP="00E668FF">
      <w:pPr>
        <w:suppressAutoHyphens/>
        <w:ind w:firstLine="709"/>
        <w:rPr>
          <w:b/>
          <w:color w:val="FF0000"/>
          <w:szCs w:val="20"/>
        </w:rPr>
      </w:pPr>
    </w:p>
    <w:p w:rsidR="00DE487D" w:rsidRPr="004014E5" w:rsidRDefault="00DE487D" w:rsidP="00DE487D">
      <w:pPr>
        <w:suppressAutoHyphens/>
        <w:ind w:firstLine="709"/>
        <w:jc w:val="center"/>
        <w:rPr>
          <w:b/>
        </w:rPr>
      </w:pPr>
      <w:r w:rsidRPr="004014E5">
        <w:rPr>
          <w:b/>
        </w:rPr>
        <w:t>Источники финансирования инвестиционной программы</w:t>
      </w:r>
    </w:p>
    <w:p w:rsidR="00DE487D" w:rsidRPr="004014E5" w:rsidRDefault="00DE487D" w:rsidP="00DE487D">
      <w:pPr>
        <w:suppressAutoHyphens/>
        <w:ind w:firstLine="709"/>
        <w:jc w:val="center"/>
        <w:rPr>
          <w:b/>
        </w:rPr>
      </w:pPr>
    </w:p>
    <w:p w:rsidR="00DE487D" w:rsidRPr="004014E5" w:rsidRDefault="00DE487D" w:rsidP="00DE487D">
      <w:pPr>
        <w:suppressAutoHyphens/>
        <w:ind w:firstLine="709"/>
        <w:jc w:val="both"/>
      </w:pPr>
      <w:r w:rsidRPr="004014E5">
        <w:t>Источниками финансирования инвестиционной программы в отчетном периоде являлись амортизация отчетного года и неиспользованная амортизация прошлых лет.</w:t>
      </w:r>
    </w:p>
    <w:p w:rsidR="00DE487D" w:rsidRPr="004014E5" w:rsidRDefault="00DE487D" w:rsidP="00DE487D">
      <w:pPr>
        <w:autoSpaceDE w:val="0"/>
        <w:autoSpaceDN w:val="0"/>
        <w:adjustRightInd w:val="0"/>
        <w:jc w:val="center"/>
        <w:rPr>
          <w:b/>
        </w:rPr>
      </w:pPr>
    </w:p>
    <w:p w:rsidR="00DE487D" w:rsidRPr="004014E5" w:rsidRDefault="00DE487D" w:rsidP="00DE487D">
      <w:pPr>
        <w:autoSpaceDE w:val="0"/>
        <w:autoSpaceDN w:val="0"/>
        <w:adjustRightInd w:val="0"/>
        <w:jc w:val="center"/>
        <w:rPr>
          <w:b/>
        </w:rPr>
      </w:pPr>
      <w:r w:rsidRPr="004014E5">
        <w:rPr>
          <w:b/>
        </w:rPr>
        <w:t>Структура финансирования инвестиционной программы Общества</w:t>
      </w:r>
    </w:p>
    <w:p w:rsidR="00DE487D" w:rsidRPr="004014E5" w:rsidRDefault="00DE487D" w:rsidP="00DE487D">
      <w:pPr>
        <w:autoSpaceDE w:val="0"/>
        <w:autoSpaceDN w:val="0"/>
        <w:adjustRightInd w:val="0"/>
        <w:jc w:val="center"/>
        <w:rPr>
          <w:b/>
        </w:rPr>
      </w:pPr>
      <w:r w:rsidRPr="004014E5">
        <w:rPr>
          <w:b/>
        </w:rPr>
        <w:lastRenderedPageBreak/>
        <w:t>в 2012-2014 г., млн. руб. с НДС</w:t>
      </w:r>
    </w:p>
    <w:tbl>
      <w:tblPr>
        <w:tblW w:w="9504" w:type="dxa"/>
        <w:tblInd w:w="103" w:type="dxa"/>
        <w:tblLook w:val="04A0" w:firstRow="1" w:lastRow="0" w:firstColumn="1" w:lastColumn="0" w:noHBand="0" w:noVBand="1"/>
      </w:tblPr>
      <w:tblGrid>
        <w:gridCol w:w="2273"/>
        <w:gridCol w:w="4111"/>
        <w:gridCol w:w="1040"/>
        <w:gridCol w:w="1040"/>
        <w:gridCol w:w="1040"/>
      </w:tblGrid>
      <w:tr w:rsidR="00DE487D" w:rsidTr="00247FEF">
        <w:trPr>
          <w:trHeight w:val="300"/>
        </w:trPr>
        <w:tc>
          <w:tcPr>
            <w:tcW w:w="6384" w:type="dxa"/>
            <w:gridSpan w:val="2"/>
            <w:tcBorders>
              <w:top w:val="single" w:sz="4" w:space="0" w:color="auto"/>
              <w:left w:val="single" w:sz="4" w:space="0" w:color="auto"/>
              <w:bottom w:val="single" w:sz="4" w:space="0" w:color="auto"/>
              <w:right w:val="single" w:sz="4" w:space="0" w:color="auto"/>
            </w:tcBorders>
            <w:noWrap/>
            <w:vAlign w:val="center"/>
            <w:hideMark/>
          </w:tcPr>
          <w:p w:rsidR="00DE487D" w:rsidRDefault="00DE487D" w:rsidP="00247FEF">
            <w:pPr>
              <w:spacing w:line="276" w:lineRule="auto"/>
              <w:jc w:val="center"/>
              <w:rPr>
                <w:b/>
                <w:bCs/>
                <w:sz w:val="20"/>
                <w:szCs w:val="20"/>
                <w:lang w:eastAsia="en-US"/>
              </w:rPr>
            </w:pPr>
            <w:r>
              <w:rPr>
                <w:b/>
                <w:bCs/>
                <w:sz w:val="20"/>
                <w:szCs w:val="20"/>
                <w:lang w:eastAsia="en-US"/>
              </w:rPr>
              <w:t>Наименование</w:t>
            </w:r>
          </w:p>
        </w:tc>
        <w:tc>
          <w:tcPr>
            <w:tcW w:w="1040" w:type="dxa"/>
            <w:tcBorders>
              <w:top w:val="single" w:sz="4" w:space="0" w:color="auto"/>
              <w:left w:val="nil"/>
              <w:bottom w:val="single" w:sz="4" w:space="0" w:color="auto"/>
              <w:right w:val="single" w:sz="4" w:space="0" w:color="auto"/>
            </w:tcBorders>
            <w:vAlign w:val="center"/>
            <w:hideMark/>
          </w:tcPr>
          <w:p w:rsidR="00DE487D" w:rsidRDefault="00DE487D" w:rsidP="00247FEF">
            <w:pPr>
              <w:spacing w:line="276" w:lineRule="auto"/>
              <w:jc w:val="center"/>
              <w:rPr>
                <w:b/>
                <w:bCs/>
                <w:sz w:val="20"/>
                <w:szCs w:val="20"/>
                <w:lang w:eastAsia="en-US"/>
              </w:rPr>
            </w:pPr>
            <w:r>
              <w:rPr>
                <w:b/>
                <w:bCs/>
                <w:sz w:val="20"/>
                <w:szCs w:val="20"/>
                <w:lang w:eastAsia="en-US"/>
              </w:rPr>
              <w:t>2012</w:t>
            </w:r>
          </w:p>
        </w:tc>
        <w:tc>
          <w:tcPr>
            <w:tcW w:w="1040" w:type="dxa"/>
            <w:tcBorders>
              <w:top w:val="single" w:sz="4" w:space="0" w:color="auto"/>
              <w:left w:val="nil"/>
              <w:bottom w:val="single" w:sz="4" w:space="0" w:color="auto"/>
              <w:right w:val="single" w:sz="4" w:space="0" w:color="auto"/>
            </w:tcBorders>
            <w:vAlign w:val="center"/>
            <w:hideMark/>
          </w:tcPr>
          <w:p w:rsidR="00DE487D" w:rsidRDefault="00DE487D" w:rsidP="00247FEF">
            <w:pPr>
              <w:spacing w:line="276" w:lineRule="auto"/>
              <w:jc w:val="center"/>
              <w:rPr>
                <w:b/>
                <w:bCs/>
                <w:sz w:val="20"/>
                <w:szCs w:val="20"/>
                <w:lang w:eastAsia="en-US"/>
              </w:rPr>
            </w:pPr>
            <w:r>
              <w:rPr>
                <w:b/>
                <w:bCs/>
                <w:sz w:val="20"/>
                <w:szCs w:val="20"/>
                <w:lang w:eastAsia="en-US"/>
              </w:rPr>
              <w:t>2013</w:t>
            </w:r>
          </w:p>
        </w:tc>
        <w:tc>
          <w:tcPr>
            <w:tcW w:w="1040" w:type="dxa"/>
            <w:tcBorders>
              <w:top w:val="single" w:sz="4" w:space="0" w:color="auto"/>
              <w:left w:val="nil"/>
              <w:bottom w:val="single" w:sz="4" w:space="0" w:color="auto"/>
              <w:right w:val="single" w:sz="4" w:space="0" w:color="auto"/>
            </w:tcBorders>
            <w:noWrap/>
            <w:vAlign w:val="center"/>
            <w:hideMark/>
          </w:tcPr>
          <w:p w:rsidR="00DE487D" w:rsidRDefault="00DE487D" w:rsidP="00247FEF">
            <w:pPr>
              <w:spacing w:line="276" w:lineRule="auto"/>
              <w:jc w:val="center"/>
              <w:rPr>
                <w:b/>
                <w:bCs/>
                <w:sz w:val="20"/>
                <w:szCs w:val="20"/>
                <w:lang w:eastAsia="en-US"/>
              </w:rPr>
            </w:pPr>
            <w:r>
              <w:rPr>
                <w:b/>
                <w:bCs/>
                <w:sz w:val="20"/>
                <w:szCs w:val="20"/>
                <w:lang w:eastAsia="en-US"/>
              </w:rPr>
              <w:t>2014</w:t>
            </w:r>
          </w:p>
        </w:tc>
      </w:tr>
      <w:tr w:rsidR="00DE487D" w:rsidTr="00247FEF">
        <w:trPr>
          <w:trHeight w:val="300"/>
        </w:trPr>
        <w:tc>
          <w:tcPr>
            <w:tcW w:w="6384" w:type="dxa"/>
            <w:gridSpan w:val="2"/>
            <w:tcBorders>
              <w:top w:val="single" w:sz="4" w:space="0" w:color="auto"/>
              <w:left w:val="single" w:sz="4" w:space="0" w:color="auto"/>
              <w:bottom w:val="single" w:sz="4" w:space="0" w:color="auto"/>
              <w:right w:val="single" w:sz="4" w:space="0" w:color="auto"/>
            </w:tcBorders>
            <w:noWrap/>
            <w:vAlign w:val="center"/>
            <w:hideMark/>
          </w:tcPr>
          <w:p w:rsidR="00DE487D" w:rsidRDefault="00DE487D" w:rsidP="00247FEF">
            <w:pPr>
              <w:spacing w:line="276" w:lineRule="auto"/>
              <w:jc w:val="both"/>
              <w:rPr>
                <w:b/>
                <w:bCs/>
                <w:sz w:val="20"/>
                <w:szCs w:val="20"/>
                <w:lang w:eastAsia="en-US"/>
              </w:rPr>
            </w:pPr>
            <w:r>
              <w:rPr>
                <w:b/>
                <w:bCs/>
                <w:sz w:val="20"/>
                <w:szCs w:val="20"/>
                <w:lang w:eastAsia="en-US"/>
              </w:rPr>
              <w:t>Инвестиции, всего</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b/>
                <w:bCs/>
                <w:sz w:val="20"/>
                <w:szCs w:val="20"/>
                <w:lang w:eastAsia="en-US"/>
              </w:rPr>
            </w:pPr>
            <w:r>
              <w:rPr>
                <w:b/>
                <w:bCs/>
                <w:sz w:val="20"/>
                <w:szCs w:val="20"/>
                <w:lang w:eastAsia="en-US"/>
              </w:rPr>
              <w:t>4,99</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b/>
                <w:bCs/>
                <w:sz w:val="20"/>
                <w:szCs w:val="20"/>
                <w:lang w:eastAsia="en-US"/>
              </w:rPr>
            </w:pPr>
            <w:r>
              <w:rPr>
                <w:b/>
                <w:bCs/>
                <w:sz w:val="20"/>
                <w:szCs w:val="20"/>
                <w:lang w:eastAsia="en-US"/>
              </w:rPr>
              <w:t>7,26</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b/>
                <w:bCs/>
                <w:sz w:val="20"/>
                <w:szCs w:val="20"/>
                <w:lang w:eastAsia="en-US"/>
              </w:rPr>
            </w:pPr>
            <w:r>
              <w:rPr>
                <w:b/>
                <w:bCs/>
                <w:sz w:val="20"/>
                <w:szCs w:val="20"/>
                <w:lang w:eastAsia="en-US"/>
              </w:rPr>
              <w:t>6,71</w:t>
            </w:r>
          </w:p>
        </w:tc>
      </w:tr>
      <w:tr w:rsidR="00DE487D" w:rsidTr="00247FEF">
        <w:trPr>
          <w:trHeight w:val="421"/>
        </w:trPr>
        <w:tc>
          <w:tcPr>
            <w:tcW w:w="2273" w:type="dxa"/>
            <w:vMerge w:val="restart"/>
            <w:tcBorders>
              <w:top w:val="nil"/>
              <w:left w:val="single" w:sz="4" w:space="0" w:color="auto"/>
              <w:bottom w:val="single" w:sz="4" w:space="0" w:color="auto"/>
              <w:right w:val="single" w:sz="4" w:space="0" w:color="auto"/>
            </w:tcBorders>
            <w:textDirection w:val="btLr"/>
            <w:vAlign w:val="center"/>
            <w:hideMark/>
          </w:tcPr>
          <w:p w:rsidR="00DE487D" w:rsidRDefault="00DE487D" w:rsidP="00247FEF">
            <w:pPr>
              <w:spacing w:line="276" w:lineRule="auto"/>
              <w:jc w:val="center"/>
              <w:rPr>
                <w:b/>
                <w:bCs/>
                <w:sz w:val="20"/>
                <w:szCs w:val="20"/>
                <w:lang w:eastAsia="en-US"/>
              </w:rPr>
            </w:pPr>
            <w:r>
              <w:rPr>
                <w:b/>
                <w:bCs/>
                <w:sz w:val="20"/>
                <w:szCs w:val="20"/>
                <w:lang w:eastAsia="en-US"/>
              </w:rPr>
              <w:t>Собственные источники финансирования</w:t>
            </w: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Амортизация отчетного года</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3,46</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4,13</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5,34</w:t>
            </w:r>
          </w:p>
        </w:tc>
      </w:tr>
      <w:tr w:rsidR="00DE487D" w:rsidTr="00247FEF">
        <w:trPr>
          <w:trHeight w:val="510"/>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Неиспользованная амортизация прошлых лет</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1,53</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2,30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1,38</w:t>
            </w:r>
          </w:p>
        </w:tc>
      </w:tr>
      <w:tr w:rsidR="00DE487D" w:rsidTr="00247FEF">
        <w:trPr>
          <w:trHeight w:val="305"/>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Неиспользованная прибыль прошлых лет</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0,0</w:t>
            </w:r>
          </w:p>
        </w:tc>
      </w:tr>
      <w:tr w:rsidR="00DE487D" w:rsidTr="00247FEF">
        <w:trPr>
          <w:trHeight w:val="821"/>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Прибыль отчетного года для использования в инвестиционной программе отчетного года, в том числе:</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0,0</w:t>
            </w:r>
          </w:p>
        </w:tc>
      </w:tr>
      <w:tr w:rsidR="00DE487D" w:rsidTr="00247FEF">
        <w:trPr>
          <w:trHeight w:val="368"/>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5CFE" w:rsidP="00247FEF">
            <w:pPr>
              <w:spacing w:line="276" w:lineRule="auto"/>
              <w:rPr>
                <w:i/>
                <w:iCs/>
                <w:sz w:val="20"/>
                <w:szCs w:val="20"/>
                <w:lang w:eastAsia="en-US"/>
              </w:rPr>
            </w:pPr>
            <w:r>
              <w:rPr>
                <w:i/>
                <w:iCs/>
                <w:sz w:val="20"/>
                <w:szCs w:val="20"/>
                <w:lang w:eastAsia="en-US"/>
              </w:rPr>
              <w:t>НДС к возмещению</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noWrap/>
            <w:vAlign w:val="center"/>
            <w:hideMark/>
          </w:tcPr>
          <w:p w:rsidR="00DE487D" w:rsidRDefault="00DE5CFE" w:rsidP="00247FEF">
            <w:pPr>
              <w:spacing w:line="276" w:lineRule="auto"/>
              <w:jc w:val="center"/>
              <w:rPr>
                <w:sz w:val="20"/>
                <w:szCs w:val="20"/>
                <w:lang w:eastAsia="en-US"/>
              </w:rPr>
            </w:pPr>
            <w:r>
              <w:rPr>
                <w:sz w:val="20"/>
                <w:szCs w:val="20"/>
                <w:lang w:eastAsia="en-US"/>
              </w:rPr>
              <w:t>1,02</w:t>
            </w:r>
          </w:p>
        </w:tc>
      </w:tr>
      <w:tr w:rsidR="00DE487D" w:rsidTr="00247FEF">
        <w:trPr>
          <w:trHeight w:val="343"/>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Доп. эмиссия</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0,0</w:t>
            </w:r>
          </w:p>
        </w:tc>
      </w:tr>
      <w:tr w:rsidR="00DE487D" w:rsidTr="00247FEF">
        <w:trPr>
          <w:trHeight w:val="510"/>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Прочие собственные источники финансирования</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0,83</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0,0</w:t>
            </w:r>
          </w:p>
        </w:tc>
      </w:tr>
      <w:tr w:rsidR="00DE487D" w:rsidTr="00247FEF">
        <w:trPr>
          <w:trHeight w:val="510"/>
        </w:trPr>
        <w:tc>
          <w:tcPr>
            <w:tcW w:w="2273" w:type="dxa"/>
            <w:vMerge w:val="restart"/>
            <w:tcBorders>
              <w:top w:val="nil"/>
              <w:left w:val="single" w:sz="4" w:space="0" w:color="auto"/>
              <w:bottom w:val="single" w:sz="4" w:space="0" w:color="auto"/>
              <w:right w:val="single" w:sz="4" w:space="0" w:color="auto"/>
            </w:tcBorders>
            <w:textDirection w:val="btLr"/>
            <w:vAlign w:val="center"/>
            <w:hideMark/>
          </w:tcPr>
          <w:p w:rsidR="00DE487D" w:rsidRDefault="00DE487D" w:rsidP="00247FEF">
            <w:pPr>
              <w:spacing w:line="276" w:lineRule="auto"/>
              <w:jc w:val="center"/>
              <w:rPr>
                <w:b/>
                <w:bCs/>
                <w:sz w:val="20"/>
                <w:szCs w:val="20"/>
                <w:lang w:eastAsia="en-US"/>
              </w:rPr>
            </w:pPr>
            <w:r>
              <w:rPr>
                <w:b/>
                <w:bCs/>
                <w:sz w:val="20"/>
                <w:szCs w:val="20"/>
                <w:lang w:eastAsia="en-US"/>
              </w:rPr>
              <w:t>Внешние источники финансирования</w:t>
            </w: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Бюджетные средства (федеральные, муниципальные)</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w:t>
            </w:r>
          </w:p>
        </w:tc>
      </w:tr>
      <w:tr w:rsidR="00DE487D" w:rsidTr="00247FEF">
        <w:trPr>
          <w:trHeight w:val="510"/>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Привлеченные средства (заемные процентные)</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w:t>
            </w:r>
          </w:p>
        </w:tc>
      </w:tr>
      <w:tr w:rsidR="00DE487D" w:rsidTr="00247FEF">
        <w:trPr>
          <w:trHeight w:val="510"/>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Плата за технологическое присоединение – авансы</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w:t>
            </w:r>
          </w:p>
        </w:tc>
      </w:tr>
      <w:tr w:rsidR="00DE487D" w:rsidTr="00247FEF">
        <w:trPr>
          <w:trHeight w:val="772"/>
        </w:trPr>
        <w:tc>
          <w:tcPr>
            <w:tcW w:w="0" w:type="auto"/>
            <w:vMerge/>
            <w:tcBorders>
              <w:top w:val="nil"/>
              <w:left w:val="single" w:sz="4" w:space="0" w:color="auto"/>
              <w:bottom w:val="single" w:sz="4" w:space="0" w:color="auto"/>
              <w:right w:val="single" w:sz="4" w:space="0" w:color="auto"/>
            </w:tcBorders>
            <w:vAlign w:val="center"/>
            <w:hideMark/>
          </w:tcPr>
          <w:p w:rsidR="00DE487D" w:rsidRDefault="00DE487D" w:rsidP="00247FEF">
            <w:pPr>
              <w:rPr>
                <w:b/>
                <w:bCs/>
                <w:sz w:val="20"/>
                <w:szCs w:val="20"/>
                <w:lang w:eastAsia="en-US"/>
              </w:rPr>
            </w:pPr>
          </w:p>
        </w:tc>
        <w:tc>
          <w:tcPr>
            <w:tcW w:w="4111" w:type="dxa"/>
            <w:tcBorders>
              <w:top w:val="nil"/>
              <w:left w:val="nil"/>
              <w:bottom w:val="single" w:sz="4" w:space="0" w:color="auto"/>
              <w:right w:val="single" w:sz="4" w:space="0" w:color="auto"/>
            </w:tcBorders>
            <w:vAlign w:val="center"/>
            <w:hideMark/>
          </w:tcPr>
          <w:p w:rsidR="00DE487D" w:rsidRDefault="00DE487D" w:rsidP="00247FEF">
            <w:pPr>
              <w:spacing w:line="276" w:lineRule="auto"/>
              <w:rPr>
                <w:sz w:val="20"/>
                <w:szCs w:val="20"/>
                <w:lang w:eastAsia="en-US"/>
              </w:rPr>
            </w:pPr>
            <w:r>
              <w:rPr>
                <w:sz w:val="20"/>
                <w:szCs w:val="20"/>
                <w:lang w:eastAsia="en-US"/>
              </w:rPr>
              <w:t>Прочие источники внешнего финансирования, в т.ч. долевое участие в строительстве за счет прочих источников</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vAlign w:val="center"/>
            <w:hideMark/>
          </w:tcPr>
          <w:p w:rsidR="00DE487D" w:rsidRDefault="00DE487D" w:rsidP="00247FEF">
            <w:pPr>
              <w:spacing w:line="276" w:lineRule="auto"/>
              <w:jc w:val="center"/>
              <w:rPr>
                <w:sz w:val="20"/>
                <w:szCs w:val="20"/>
                <w:lang w:eastAsia="en-US"/>
              </w:rPr>
            </w:pPr>
            <w:r>
              <w:rPr>
                <w:sz w:val="20"/>
                <w:szCs w:val="20"/>
                <w:lang w:eastAsia="en-US"/>
              </w:rPr>
              <w:t>0</w:t>
            </w:r>
          </w:p>
        </w:tc>
        <w:tc>
          <w:tcPr>
            <w:tcW w:w="1040" w:type="dxa"/>
            <w:tcBorders>
              <w:top w:val="nil"/>
              <w:left w:val="nil"/>
              <w:bottom w:val="single" w:sz="4" w:space="0" w:color="auto"/>
              <w:right w:val="single" w:sz="4" w:space="0" w:color="auto"/>
            </w:tcBorders>
            <w:noWrap/>
            <w:vAlign w:val="center"/>
            <w:hideMark/>
          </w:tcPr>
          <w:p w:rsidR="00DE487D" w:rsidRDefault="00DE487D" w:rsidP="00247FEF">
            <w:pPr>
              <w:spacing w:line="276" w:lineRule="auto"/>
              <w:jc w:val="center"/>
              <w:rPr>
                <w:sz w:val="20"/>
                <w:szCs w:val="20"/>
                <w:lang w:eastAsia="en-US"/>
              </w:rPr>
            </w:pPr>
            <w:r>
              <w:rPr>
                <w:sz w:val="20"/>
                <w:szCs w:val="20"/>
                <w:lang w:eastAsia="en-US"/>
              </w:rPr>
              <w:t>0</w:t>
            </w:r>
          </w:p>
        </w:tc>
      </w:tr>
    </w:tbl>
    <w:p w:rsidR="00DE487D" w:rsidRPr="004014E5" w:rsidRDefault="00DE487D" w:rsidP="00DE487D">
      <w:pPr>
        <w:autoSpaceDE w:val="0"/>
        <w:autoSpaceDN w:val="0"/>
        <w:adjustRightInd w:val="0"/>
        <w:jc w:val="center"/>
        <w:rPr>
          <w:color w:val="FF0000"/>
        </w:rPr>
      </w:pPr>
    </w:p>
    <w:p w:rsidR="00DE487D" w:rsidRPr="00DE487D" w:rsidRDefault="00DE487D" w:rsidP="00DE487D">
      <w:pPr>
        <w:suppressAutoHyphens/>
        <w:spacing w:after="240"/>
        <w:ind w:firstLine="709"/>
        <w:jc w:val="both"/>
      </w:pPr>
      <w:r w:rsidRPr="004014E5">
        <w:t>В отчетном периоде привлечение заемных ресурсов под инвестиционные проекты, а также непрофильные инвестиции не осуществлялись.</w:t>
      </w:r>
    </w:p>
    <w:p w:rsidR="00E668FF" w:rsidRPr="000D3868" w:rsidRDefault="00E668FF" w:rsidP="00E668FF">
      <w:pPr>
        <w:keepNext/>
        <w:spacing w:line="360" w:lineRule="auto"/>
        <w:jc w:val="center"/>
        <w:outlineLvl w:val="0"/>
        <w:rPr>
          <w:b/>
          <w:sz w:val="28"/>
          <w:szCs w:val="28"/>
        </w:rPr>
      </w:pPr>
      <w:r w:rsidRPr="000D3868">
        <w:rPr>
          <w:b/>
          <w:sz w:val="28"/>
          <w:szCs w:val="28"/>
        </w:rPr>
        <w:t>3.3. Результаты реализации инвестиционной программы 2014 года</w:t>
      </w:r>
    </w:p>
    <w:p w:rsidR="00E668FF" w:rsidRPr="00E668FF" w:rsidRDefault="00E668FF" w:rsidP="00E668FF">
      <w:pPr>
        <w:keepNext/>
        <w:spacing w:after="240"/>
        <w:ind w:firstLine="567"/>
        <w:jc w:val="both"/>
        <w:outlineLvl w:val="0"/>
      </w:pPr>
      <w:r w:rsidRPr="00E668FF">
        <w:t>В 2014 году Обществом реализована инвестиционная программа на сумму 6,71 млн.руб. В результате реализации инвестиционной программы произведено укомплектование центров обслуживания клиентов новой оргтехникой, офисной мебелью и обновление изношенных автотранспортных средств, приобретено серверное оборудование для внедрения расчетно-биллинговой системы «СТЕК-Энерго».</w:t>
      </w:r>
    </w:p>
    <w:p w:rsidR="00E668FF" w:rsidRPr="000D3868" w:rsidRDefault="00E668FF" w:rsidP="00E668FF">
      <w:pPr>
        <w:keepNext/>
        <w:spacing w:line="360" w:lineRule="auto"/>
        <w:jc w:val="center"/>
        <w:outlineLvl w:val="0"/>
        <w:rPr>
          <w:b/>
          <w:sz w:val="28"/>
          <w:szCs w:val="28"/>
        </w:rPr>
      </w:pPr>
      <w:r w:rsidRPr="000D3868">
        <w:rPr>
          <w:b/>
          <w:sz w:val="28"/>
          <w:szCs w:val="28"/>
        </w:rPr>
        <w:t>3.4. Долгосрочная инвестиционная программа</w:t>
      </w:r>
    </w:p>
    <w:p w:rsidR="00E668FF" w:rsidRPr="00E668FF" w:rsidRDefault="00E668FF" w:rsidP="00E668FF">
      <w:pPr>
        <w:ind w:firstLine="709"/>
        <w:jc w:val="both"/>
      </w:pPr>
      <w:r w:rsidRPr="00E668FF">
        <w:t>Инвестиционная программа Общества на период 2015-2019 гг. утверждена решением Совета директоров от</w:t>
      </w:r>
      <w:r w:rsidRPr="00E668FF">
        <w:rPr>
          <w:color w:val="FF0000"/>
        </w:rPr>
        <w:t xml:space="preserve"> </w:t>
      </w:r>
      <w:r w:rsidRPr="00E668FF">
        <w:t xml:space="preserve">13.01.2015г. № 145. </w:t>
      </w:r>
      <w:r w:rsidRPr="00E668FF">
        <w:rPr>
          <w:color w:val="FF0000"/>
        </w:rPr>
        <w:t xml:space="preserve"> </w:t>
      </w:r>
      <w:r w:rsidRPr="00E668FF">
        <w:t>Инвестиции в 2015 году планируется с учетом открытия 4 центров обслуживания клиентов.</w:t>
      </w:r>
      <w:r w:rsidRPr="00E668FF">
        <w:rPr>
          <w:color w:val="FF0000"/>
        </w:rPr>
        <w:t xml:space="preserve"> </w:t>
      </w:r>
      <w:r w:rsidRPr="00E668FF">
        <w:t>В период с 2015 по 2019 гг. инвестиции будут осуществляться только в рамках текущих амортизационных отчислений.</w:t>
      </w:r>
    </w:p>
    <w:p w:rsidR="00E668FF" w:rsidRPr="00E668FF" w:rsidRDefault="00E668FF" w:rsidP="00E668FF">
      <w:pPr>
        <w:ind w:firstLine="709"/>
        <w:jc w:val="both"/>
      </w:pPr>
    </w:p>
    <w:p w:rsidR="00E668FF" w:rsidRPr="00E668FF" w:rsidRDefault="00E668FF" w:rsidP="00E668FF">
      <w:pPr>
        <w:autoSpaceDE w:val="0"/>
        <w:autoSpaceDN w:val="0"/>
        <w:adjustRightInd w:val="0"/>
        <w:jc w:val="center"/>
        <w:rPr>
          <w:b/>
        </w:rPr>
      </w:pPr>
      <w:r w:rsidRPr="00E668FF">
        <w:rPr>
          <w:b/>
        </w:rPr>
        <w:t>Расходы на финансирование инвестиционной программы в период 2015-2019 гг.,               млн. руб. с НДС</w:t>
      </w:r>
    </w:p>
    <w:p w:rsidR="00E668FF" w:rsidRPr="00E668FF" w:rsidRDefault="00E668FF" w:rsidP="00E668FF">
      <w:pPr>
        <w:autoSpaceDE w:val="0"/>
        <w:autoSpaceDN w:val="0"/>
        <w:adjustRightInd w:val="0"/>
        <w:jc w:val="center"/>
        <w:rPr>
          <w:b/>
        </w:rPr>
      </w:pPr>
    </w:p>
    <w:tbl>
      <w:tblPr>
        <w:tblW w:w="5000" w:type="pct"/>
        <w:tblLook w:val="04A0" w:firstRow="1" w:lastRow="0" w:firstColumn="1" w:lastColumn="0" w:noHBand="0" w:noVBand="1"/>
      </w:tblPr>
      <w:tblGrid>
        <w:gridCol w:w="3777"/>
        <w:gridCol w:w="1219"/>
        <w:gridCol w:w="1170"/>
        <w:gridCol w:w="1170"/>
        <w:gridCol w:w="1170"/>
        <w:gridCol w:w="1167"/>
      </w:tblGrid>
      <w:tr w:rsidR="00E668FF" w:rsidRPr="00E668FF" w:rsidTr="00247FEF">
        <w:trPr>
          <w:trHeight w:val="300"/>
        </w:trPr>
        <w:tc>
          <w:tcPr>
            <w:tcW w:w="1952"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68FF" w:rsidRPr="00E668FF" w:rsidRDefault="00E668FF" w:rsidP="00E668FF">
            <w:pPr>
              <w:jc w:val="center"/>
              <w:rPr>
                <w:b/>
                <w:bCs/>
                <w:sz w:val="22"/>
                <w:szCs w:val="22"/>
              </w:rPr>
            </w:pPr>
            <w:r w:rsidRPr="00E668FF">
              <w:rPr>
                <w:b/>
                <w:bCs/>
                <w:sz w:val="22"/>
                <w:szCs w:val="22"/>
              </w:rPr>
              <w:t>ОАО «Каббалкэнерго»</w:t>
            </w:r>
          </w:p>
        </w:tc>
        <w:tc>
          <w:tcPr>
            <w:tcW w:w="630"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b/>
                <w:bCs/>
                <w:sz w:val="22"/>
                <w:szCs w:val="22"/>
              </w:rPr>
            </w:pPr>
            <w:r w:rsidRPr="00E668FF">
              <w:rPr>
                <w:b/>
                <w:bCs/>
                <w:sz w:val="22"/>
                <w:szCs w:val="22"/>
              </w:rPr>
              <w:t>2015 г.</w:t>
            </w:r>
          </w:p>
        </w:tc>
        <w:tc>
          <w:tcPr>
            <w:tcW w:w="605"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b/>
                <w:bCs/>
                <w:sz w:val="22"/>
                <w:szCs w:val="22"/>
              </w:rPr>
            </w:pPr>
            <w:r w:rsidRPr="00E668FF">
              <w:rPr>
                <w:b/>
                <w:bCs/>
                <w:sz w:val="22"/>
                <w:szCs w:val="22"/>
              </w:rPr>
              <w:t>2016 г.</w:t>
            </w:r>
          </w:p>
        </w:tc>
        <w:tc>
          <w:tcPr>
            <w:tcW w:w="605"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b/>
                <w:bCs/>
                <w:sz w:val="22"/>
                <w:szCs w:val="22"/>
              </w:rPr>
            </w:pPr>
            <w:r w:rsidRPr="00E668FF">
              <w:rPr>
                <w:b/>
                <w:bCs/>
                <w:sz w:val="22"/>
                <w:szCs w:val="22"/>
              </w:rPr>
              <w:t>2017 г.</w:t>
            </w:r>
          </w:p>
        </w:tc>
        <w:tc>
          <w:tcPr>
            <w:tcW w:w="605"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b/>
                <w:bCs/>
                <w:sz w:val="22"/>
                <w:szCs w:val="22"/>
              </w:rPr>
            </w:pPr>
            <w:r w:rsidRPr="00E668FF">
              <w:rPr>
                <w:b/>
                <w:bCs/>
                <w:sz w:val="22"/>
                <w:szCs w:val="22"/>
              </w:rPr>
              <w:t>2018 г.</w:t>
            </w:r>
          </w:p>
        </w:tc>
        <w:tc>
          <w:tcPr>
            <w:tcW w:w="605" w:type="pct"/>
            <w:tcBorders>
              <w:top w:val="single" w:sz="4" w:space="0" w:color="auto"/>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b/>
                <w:bCs/>
                <w:sz w:val="22"/>
                <w:szCs w:val="22"/>
              </w:rPr>
            </w:pPr>
            <w:r w:rsidRPr="00E668FF">
              <w:rPr>
                <w:b/>
                <w:bCs/>
                <w:sz w:val="22"/>
                <w:szCs w:val="22"/>
              </w:rPr>
              <w:t>2019 г.</w:t>
            </w:r>
          </w:p>
        </w:tc>
      </w:tr>
      <w:tr w:rsidR="00E668FF" w:rsidRPr="00E668FF" w:rsidTr="00247FEF">
        <w:trPr>
          <w:trHeight w:val="300"/>
        </w:trPr>
        <w:tc>
          <w:tcPr>
            <w:tcW w:w="1952" w:type="pct"/>
            <w:tcBorders>
              <w:top w:val="nil"/>
              <w:left w:val="single" w:sz="4" w:space="0" w:color="auto"/>
              <w:bottom w:val="single" w:sz="4" w:space="0" w:color="auto"/>
              <w:right w:val="single" w:sz="4" w:space="0" w:color="auto"/>
            </w:tcBorders>
            <w:shd w:val="clear" w:color="auto" w:fill="auto"/>
            <w:noWrap/>
            <w:vAlign w:val="center"/>
            <w:hideMark/>
          </w:tcPr>
          <w:p w:rsidR="00E668FF" w:rsidRPr="00E668FF" w:rsidRDefault="00E668FF" w:rsidP="00E668FF">
            <w:pPr>
              <w:jc w:val="both"/>
              <w:rPr>
                <w:sz w:val="22"/>
                <w:szCs w:val="22"/>
              </w:rPr>
            </w:pPr>
            <w:r w:rsidRPr="00E668FF">
              <w:rPr>
                <w:sz w:val="22"/>
                <w:szCs w:val="22"/>
              </w:rPr>
              <w:t>Итого</w:t>
            </w:r>
          </w:p>
        </w:tc>
        <w:tc>
          <w:tcPr>
            <w:tcW w:w="630"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5,66</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5,91</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6,17</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6,45</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6,73</w:t>
            </w:r>
          </w:p>
        </w:tc>
      </w:tr>
      <w:tr w:rsidR="00E668FF" w:rsidRPr="00E668FF" w:rsidTr="00247FEF">
        <w:trPr>
          <w:trHeight w:val="300"/>
        </w:trPr>
        <w:tc>
          <w:tcPr>
            <w:tcW w:w="1952" w:type="pct"/>
            <w:tcBorders>
              <w:top w:val="nil"/>
              <w:left w:val="single" w:sz="4" w:space="0" w:color="auto"/>
              <w:bottom w:val="single" w:sz="4" w:space="0" w:color="auto"/>
              <w:right w:val="single" w:sz="4" w:space="0" w:color="auto"/>
            </w:tcBorders>
            <w:shd w:val="clear" w:color="auto" w:fill="auto"/>
            <w:noWrap/>
            <w:vAlign w:val="center"/>
            <w:hideMark/>
          </w:tcPr>
          <w:p w:rsidR="00E668FF" w:rsidRPr="00E668FF" w:rsidRDefault="00E668FF" w:rsidP="00E668FF">
            <w:pPr>
              <w:jc w:val="both"/>
              <w:rPr>
                <w:sz w:val="22"/>
                <w:szCs w:val="22"/>
              </w:rPr>
            </w:pPr>
            <w:r w:rsidRPr="00E668FF">
              <w:rPr>
                <w:sz w:val="22"/>
                <w:szCs w:val="22"/>
              </w:rPr>
              <w:t>ТПиР</w:t>
            </w:r>
          </w:p>
        </w:tc>
        <w:tc>
          <w:tcPr>
            <w:tcW w:w="630"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r>
      <w:tr w:rsidR="00E668FF" w:rsidRPr="00E668FF" w:rsidTr="00247FEF">
        <w:trPr>
          <w:trHeight w:val="300"/>
        </w:trPr>
        <w:tc>
          <w:tcPr>
            <w:tcW w:w="1952" w:type="pct"/>
            <w:tcBorders>
              <w:top w:val="nil"/>
              <w:left w:val="single" w:sz="4" w:space="0" w:color="auto"/>
              <w:bottom w:val="single" w:sz="4" w:space="0" w:color="auto"/>
              <w:right w:val="single" w:sz="4" w:space="0" w:color="auto"/>
            </w:tcBorders>
            <w:shd w:val="clear" w:color="auto" w:fill="auto"/>
            <w:noWrap/>
            <w:vAlign w:val="center"/>
            <w:hideMark/>
          </w:tcPr>
          <w:p w:rsidR="00E668FF" w:rsidRPr="00E668FF" w:rsidRDefault="00E668FF" w:rsidP="00E668FF">
            <w:pPr>
              <w:jc w:val="both"/>
              <w:rPr>
                <w:sz w:val="22"/>
                <w:szCs w:val="22"/>
              </w:rPr>
            </w:pPr>
            <w:r w:rsidRPr="00E668FF">
              <w:rPr>
                <w:sz w:val="22"/>
                <w:szCs w:val="22"/>
              </w:rPr>
              <w:t>Новое строительство</w:t>
            </w:r>
          </w:p>
        </w:tc>
        <w:tc>
          <w:tcPr>
            <w:tcW w:w="630"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0</w:t>
            </w:r>
          </w:p>
        </w:tc>
      </w:tr>
      <w:tr w:rsidR="00E668FF" w:rsidRPr="00E668FF" w:rsidTr="00247FEF">
        <w:trPr>
          <w:trHeight w:val="300"/>
        </w:trPr>
        <w:tc>
          <w:tcPr>
            <w:tcW w:w="1952" w:type="pct"/>
            <w:tcBorders>
              <w:top w:val="nil"/>
              <w:left w:val="single" w:sz="4" w:space="0" w:color="auto"/>
              <w:bottom w:val="single" w:sz="4" w:space="0" w:color="auto"/>
              <w:right w:val="single" w:sz="4" w:space="0" w:color="auto"/>
            </w:tcBorders>
            <w:shd w:val="clear" w:color="auto" w:fill="auto"/>
            <w:noWrap/>
            <w:vAlign w:val="center"/>
            <w:hideMark/>
          </w:tcPr>
          <w:p w:rsidR="00E668FF" w:rsidRPr="00E668FF" w:rsidRDefault="00E668FF" w:rsidP="00E668FF">
            <w:pPr>
              <w:jc w:val="both"/>
              <w:rPr>
                <w:sz w:val="22"/>
                <w:szCs w:val="22"/>
              </w:rPr>
            </w:pPr>
            <w:r w:rsidRPr="00E668FF">
              <w:rPr>
                <w:sz w:val="22"/>
                <w:szCs w:val="22"/>
              </w:rPr>
              <w:t>Приобретение основных средств</w:t>
            </w:r>
          </w:p>
        </w:tc>
        <w:tc>
          <w:tcPr>
            <w:tcW w:w="630"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5,66</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5,91</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6,17</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6,45</w:t>
            </w:r>
          </w:p>
        </w:tc>
        <w:tc>
          <w:tcPr>
            <w:tcW w:w="605" w:type="pct"/>
            <w:tcBorders>
              <w:top w:val="nil"/>
              <w:left w:val="nil"/>
              <w:bottom w:val="single" w:sz="4" w:space="0" w:color="auto"/>
              <w:right w:val="single" w:sz="4" w:space="0" w:color="auto"/>
            </w:tcBorders>
            <w:shd w:val="clear" w:color="auto" w:fill="auto"/>
            <w:vAlign w:val="center"/>
            <w:hideMark/>
          </w:tcPr>
          <w:p w:rsidR="00E668FF" w:rsidRPr="00E668FF" w:rsidRDefault="00E668FF" w:rsidP="00E668FF">
            <w:pPr>
              <w:jc w:val="center"/>
              <w:rPr>
                <w:sz w:val="22"/>
                <w:szCs w:val="22"/>
              </w:rPr>
            </w:pPr>
            <w:r w:rsidRPr="00E668FF">
              <w:rPr>
                <w:sz w:val="22"/>
                <w:szCs w:val="22"/>
              </w:rPr>
              <w:t>6,73</w:t>
            </w:r>
          </w:p>
        </w:tc>
      </w:tr>
    </w:tbl>
    <w:p w:rsidR="00E668FF" w:rsidRPr="00E668FF" w:rsidRDefault="00E668FF" w:rsidP="00E668FF">
      <w:pPr>
        <w:ind w:firstLine="709"/>
        <w:jc w:val="both"/>
        <w:rPr>
          <w:color w:val="FF0000"/>
        </w:rPr>
      </w:pPr>
    </w:p>
    <w:p w:rsidR="00E668FF" w:rsidRPr="00792709" w:rsidRDefault="00E668FF" w:rsidP="00792709">
      <w:pPr>
        <w:ind w:firstLine="709"/>
        <w:jc w:val="both"/>
      </w:pPr>
      <w:r w:rsidRPr="00E668FF">
        <w:lastRenderedPageBreak/>
        <w:t>Основным направлением капиталовложений долгосрочной инвестиционной программы на период 2015-2019 гг. является приобретение объектов основных средств в целях восстановления изношенных основных фондов и осна</w:t>
      </w:r>
      <w:r w:rsidR="00792709">
        <w:t xml:space="preserve">щения новых ЦОК. </w:t>
      </w:r>
    </w:p>
    <w:p w:rsidR="00E668FF" w:rsidRPr="00E668FF" w:rsidRDefault="00E668FF" w:rsidP="00E668FF">
      <w:pPr>
        <w:autoSpaceDE w:val="0"/>
        <w:autoSpaceDN w:val="0"/>
        <w:adjustRightInd w:val="0"/>
        <w:jc w:val="center"/>
        <w:rPr>
          <w:b/>
          <w:color w:val="FF0000"/>
        </w:rPr>
      </w:pPr>
    </w:p>
    <w:p w:rsidR="00E668FF" w:rsidRPr="00E668FF" w:rsidRDefault="00E668FF" w:rsidP="00E668FF">
      <w:pPr>
        <w:autoSpaceDE w:val="0"/>
        <w:autoSpaceDN w:val="0"/>
        <w:adjustRightInd w:val="0"/>
        <w:spacing w:after="240"/>
        <w:jc w:val="center"/>
        <w:rPr>
          <w:b/>
        </w:rPr>
      </w:pPr>
      <w:r w:rsidRPr="00E668FF">
        <w:rPr>
          <w:b/>
        </w:rPr>
        <w:t>Объём планируемого финансирования капитальных вложений в соответствии с ИПР на 2015-2019 гг. с НДС</w:t>
      </w:r>
    </w:p>
    <w:p w:rsidR="00E668FF" w:rsidRPr="00E668FF" w:rsidRDefault="00E668FF" w:rsidP="00E668FF">
      <w:pPr>
        <w:spacing w:after="200"/>
        <w:jc w:val="center"/>
        <w:rPr>
          <w:rFonts w:eastAsiaTheme="minorHAnsi"/>
          <w:lang w:eastAsia="en-US"/>
        </w:rPr>
      </w:pPr>
      <w:r w:rsidRPr="00E668FF">
        <w:rPr>
          <w:noProof/>
        </w:rPr>
        <w:drawing>
          <wp:inline distT="0" distB="0" distL="0" distR="0" wp14:anchorId="0FA7DB3A" wp14:editId="3591FDE3">
            <wp:extent cx="5448300" cy="3481388"/>
            <wp:effectExtent l="0" t="0" r="19050" b="24130"/>
            <wp:docPr id="36" name="Диаграмма 3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8641C2" w:rsidRDefault="008641C2" w:rsidP="00082D6C">
      <w:pPr>
        <w:pStyle w:val="a9"/>
        <w:spacing w:after="200" w:line="276" w:lineRule="auto"/>
        <w:ind w:left="0"/>
        <w:rPr>
          <w:rFonts w:eastAsiaTheme="minorHAnsi"/>
          <w:b/>
          <w:sz w:val="32"/>
          <w:szCs w:val="32"/>
          <w:lang w:eastAsia="en-US"/>
        </w:rPr>
      </w:pPr>
    </w:p>
    <w:p w:rsidR="008641C2" w:rsidRDefault="008641C2" w:rsidP="00082D6C">
      <w:pPr>
        <w:pStyle w:val="a9"/>
        <w:spacing w:after="200" w:line="276" w:lineRule="auto"/>
        <w:ind w:left="0"/>
        <w:rPr>
          <w:rFonts w:eastAsiaTheme="minorHAnsi"/>
          <w:b/>
          <w:sz w:val="32"/>
          <w:szCs w:val="32"/>
          <w:lang w:eastAsia="en-US"/>
        </w:rPr>
      </w:pPr>
    </w:p>
    <w:p w:rsidR="00792709" w:rsidRDefault="00792709" w:rsidP="00082D6C">
      <w:pPr>
        <w:pStyle w:val="a9"/>
        <w:spacing w:after="200" w:line="276" w:lineRule="auto"/>
        <w:ind w:left="0"/>
        <w:rPr>
          <w:rFonts w:eastAsiaTheme="minorHAnsi"/>
          <w:b/>
          <w:sz w:val="32"/>
          <w:szCs w:val="32"/>
          <w:lang w:eastAsia="en-US"/>
        </w:rPr>
      </w:pPr>
    </w:p>
    <w:p w:rsidR="00AD1F84" w:rsidRPr="00080F59" w:rsidRDefault="00080F59" w:rsidP="00080F59">
      <w:pPr>
        <w:spacing w:line="276" w:lineRule="auto"/>
        <w:jc w:val="center"/>
        <w:rPr>
          <w:rFonts w:eastAsia="Calibri"/>
          <w:b/>
          <w:sz w:val="28"/>
          <w:szCs w:val="28"/>
          <w:lang w:eastAsia="en-US"/>
        </w:rPr>
      </w:pPr>
      <w:r w:rsidRPr="00080F59">
        <w:rPr>
          <w:rFonts w:eastAsia="Calibri"/>
          <w:b/>
          <w:sz w:val="28"/>
          <w:szCs w:val="28"/>
          <w:lang w:eastAsia="en-US"/>
        </w:rPr>
        <w:t xml:space="preserve">Раздел 4. </w:t>
      </w:r>
      <w:r w:rsidR="00AD1F84" w:rsidRPr="00080F59">
        <w:rPr>
          <w:rFonts w:eastAsia="Calibri"/>
          <w:b/>
          <w:sz w:val="28"/>
          <w:szCs w:val="28"/>
          <w:lang w:eastAsia="en-US"/>
        </w:rPr>
        <w:t>Производственный отчет</w:t>
      </w:r>
    </w:p>
    <w:p w:rsidR="00AD1F84" w:rsidRPr="00AD1F84" w:rsidRDefault="00AD1F84" w:rsidP="00AD1F84">
      <w:pPr>
        <w:pStyle w:val="a9"/>
        <w:spacing w:line="276" w:lineRule="auto"/>
        <w:ind w:left="1069"/>
        <w:rPr>
          <w:rFonts w:eastAsia="Calibri"/>
          <w:b/>
          <w:szCs w:val="28"/>
          <w:lang w:eastAsia="en-US"/>
        </w:rPr>
      </w:pPr>
    </w:p>
    <w:p w:rsidR="00AD1F84" w:rsidRPr="00080F59" w:rsidRDefault="00080F59" w:rsidP="00080F59">
      <w:pPr>
        <w:spacing w:after="200" w:line="276" w:lineRule="auto"/>
        <w:jc w:val="center"/>
        <w:rPr>
          <w:rFonts w:eastAsia="Calibri"/>
          <w:b/>
          <w:lang w:eastAsia="en-US"/>
        </w:rPr>
      </w:pPr>
      <w:r w:rsidRPr="00080F59">
        <w:rPr>
          <w:rFonts w:eastAsia="Calibri"/>
          <w:b/>
          <w:lang w:eastAsia="en-US"/>
        </w:rPr>
        <w:t xml:space="preserve">4.1. </w:t>
      </w:r>
      <w:r w:rsidR="00AD1F84" w:rsidRPr="00080F59">
        <w:rPr>
          <w:rFonts w:eastAsia="Calibri"/>
          <w:b/>
          <w:lang w:eastAsia="en-US"/>
        </w:rPr>
        <w:t>Общая характеристика ОРЭМ</w:t>
      </w:r>
    </w:p>
    <w:p w:rsidR="00AD1F84" w:rsidRPr="009D7489" w:rsidRDefault="00AD1F84" w:rsidP="009D7489">
      <w:pPr>
        <w:spacing w:after="200"/>
        <w:ind w:firstLine="708"/>
        <w:contextualSpacing/>
        <w:jc w:val="both"/>
        <w:rPr>
          <w:rFonts w:eastAsia="Calibri"/>
          <w:lang w:eastAsia="en-US"/>
        </w:rPr>
      </w:pPr>
      <w:r w:rsidRPr="009D7489">
        <w:rPr>
          <w:rFonts w:eastAsia="Calibri"/>
          <w:lang w:eastAsia="en-US"/>
        </w:rPr>
        <w:t>Оптовый рынок электрической энергии и мощности - сфера обращения особых товаров - электрической энергии и мощности в рамках Единой энергетической системы России в границах единого экономического пространства Российской Федерации с участием крупных производителей и крупных покупателей электрической энергии и мощности, а также иных лиц, получивших статус субъекта оптового рынка и действующих на основе правил оптового рынка, утверждаемых в соответствии с Федеральным законом «Об электроэнергетике» Правительством Российской Федерации.</w:t>
      </w:r>
    </w:p>
    <w:p w:rsidR="00AD1F84" w:rsidRPr="009D7489" w:rsidRDefault="00AD1F84" w:rsidP="009D7489">
      <w:pPr>
        <w:ind w:firstLine="680"/>
        <w:jc w:val="both"/>
      </w:pPr>
      <w:r w:rsidRPr="009D7489">
        <w:t>Постановлением Правительства РФ от 27 декабря 2010 N 1172 утверждены Правила оптового рынка электроэнергии и мощности, устанавливающие с 1 января 2011г. правовые основы функционирования оптового рынка электрической энергии и мощности, включая регулирование отношений, связанных с оборотом электрической энергии и мощности на оптовом рынке.</w:t>
      </w:r>
    </w:p>
    <w:p w:rsidR="00AD1F84" w:rsidRPr="009D7489" w:rsidRDefault="00AD1F84" w:rsidP="009D7489">
      <w:pPr>
        <w:ind w:firstLine="720"/>
        <w:jc w:val="both"/>
        <w:rPr>
          <w:color w:val="000000"/>
        </w:rPr>
      </w:pPr>
      <w:r w:rsidRPr="009D7489">
        <w:rPr>
          <w:color w:val="000000"/>
        </w:rPr>
        <w:t xml:space="preserve">Согласно Приложению №3 данного Постановления Кабардино-Балкарская Республика, на территории которой в качестве гарантирующего поставщика, функционирует ОАО «Каббалкэнерго», входит в перечень территорий ценовых зон </w:t>
      </w:r>
      <w:r w:rsidRPr="009D7489">
        <w:rPr>
          <w:color w:val="000000"/>
        </w:rPr>
        <w:lastRenderedPageBreak/>
        <w:t>оптового рынка, для которых устанавливаются особенности функционирования на оптовом рынке до 1 января 2015 года – покупка всех объемов электрической энергии и мощности, учтенных в прогнозном балансе на текущий период регулирования по регулируемым ценам.</w:t>
      </w:r>
    </w:p>
    <w:p w:rsidR="00AD1F84" w:rsidRPr="009D7489" w:rsidRDefault="00AD1F84" w:rsidP="009D7489">
      <w:pPr>
        <w:ind w:firstLine="680"/>
        <w:jc w:val="both"/>
      </w:pPr>
      <w:r w:rsidRPr="009D7489">
        <w:t>Федеральным законом от 29.12.2014 № 466 для покупателей электрической энергии (мощности), функционирующих в отдельных частях ценовых зон оптового рынка с 01 января 2015 года продлены особые условия функционирования оптового и розничного рынков электрической энергии и мощности, которые направлены на стимулирование соответствующих субъектов электроэнергетики к своевременному исполнению обязательств по оплате электрической энергии (мощности), к снижению уровня фактических потерь электрической энергии, возникающих в объектах электросетевого хозяйства на территории соответствующих регионов, а также на постепенное доведение на указанных территориях регулируемых цен (тарифов) на электрическую энергию до экономически обоснованного уровня.</w:t>
      </w:r>
    </w:p>
    <w:p w:rsidR="00AD1F84" w:rsidRPr="009D7489" w:rsidRDefault="00AD1F84" w:rsidP="009D7489">
      <w:pPr>
        <w:ind w:firstLine="680"/>
        <w:contextualSpacing/>
        <w:jc w:val="both"/>
        <w:rPr>
          <w:color w:val="000000"/>
        </w:rPr>
      </w:pPr>
      <w:r w:rsidRPr="009D7489">
        <w:rPr>
          <w:color w:val="000000"/>
        </w:rPr>
        <w:t>Наблюдательным советом НП «Совет рынка» в 2014 году приняты изменения в Договор о присоединении к торговой системе оптового рынка в отношении ОАО «Каббалкэнерго», которые:</w:t>
      </w:r>
    </w:p>
    <w:p w:rsidR="00AD1F84" w:rsidRPr="009D7489" w:rsidRDefault="00AD1F84" w:rsidP="00AE0E97">
      <w:pPr>
        <w:numPr>
          <w:ilvl w:val="0"/>
          <w:numId w:val="16"/>
        </w:numPr>
        <w:tabs>
          <w:tab w:val="left" w:pos="1083"/>
        </w:tabs>
        <w:ind w:left="0" w:firstLine="720"/>
        <w:contextualSpacing/>
        <w:jc w:val="both"/>
        <w:rPr>
          <w:color w:val="000000"/>
        </w:rPr>
      </w:pPr>
      <w:r w:rsidRPr="009D7489">
        <w:rPr>
          <w:color w:val="000000"/>
        </w:rPr>
        <w:t>устанавливают период приостановки начисления и списания неустойки на ОРЭМ с 01.08.2014 по 31.12.2014;</w:t>
      </w:r>
    </w:p>
    <w:p w:rsidR="00AD1F84" w:rsidRPr="009D7489" w:rsidRDefault="00AD1F84" w:rsidP="00AE0E97">
      <w:pPr>
        <w:numPr>
          <w:ilvl w:val="0"/>
          <w:numId w:val="16"/>
        </w:numPr>
        <w:tabs>
          <w:tab w:val="left" w:pos="1083"/>
        </w:tabs>
        <w:ind w:left="0" w:firstLine="720"/>
        <w:contextualSpacing/>
        <w:jc w:val="both"/>
        <w:rPr>
          <w:color w:val="000000"/>
        </w:rPr>
      </w:pPr>
      <w:r w:rsidRPr="009D7489">
        <w:rPr>
          <w:color w:val="000000"/>
        </w:rPr>
        <w:t>отменяют с 01.08.2014 года заключение дополнительных соглашений к РД о переходе на расчеты вне уполномоченной кредитной организации.</w:t>
      </w:r>
    </w:p>
    <w:p w:rsidR="00AD1F84" w:rsidRPr="009D7489" w:rsidRDefault="00AD1F84" w:rsidP="009D7489">
      <w:pPr>
        <w:tabs>
          <w:tab w:val="left" w:pos="1083"/>
        </w:tabs>
        <w:ind w:firstLine="684"/>
        <w:contextualSpacing/>
        <w:jc w:val="both"/>
        <w:rPr>
          <w:color w:val="000000"/>
        </w:rPr>
      </w:pPr>
      <w:r w:rsidRPr="009D7489">
        <w:rPr>
          <w:color w:val="000000"/>
        </w:rPr>
        <w:t>В 2014 году продолжает действовать система финансовых гарантий, разработанная НП «Совет рынка» совместно с ОАО «АТС» и ОАО «ЦФР» и введенная с июля 2013 года. Финансовыми гарантиями на оптовом рынке обеспечиваются обязательства по оплате электрической энергии, возникающие из договоров купли-продажи электрической энергии по результатам конкурентного отбора ценовых заявок на сутки вперед (РСВ) и договоров купли-продажи электрической энергии по результатам конкурентного отбора заявок для балансирования системы (БР).</w:t>
      </w:r>
    </w:p>
    <w:p w:rsidR="00AD1F84" w:rsidRPr="009D7489" w:rsidRDefault="00AD1F84" w:rsidP="009D7489">
      <w:pPr>
        <w:ind w:firstLine="709"/>
        <w:contextualSpacing/>
        <w:jc w:val="both"/>
      </w:pPr>
      <w:r w:rsidRPr="009D7489">
        <w:rPr>
          <w:bCs/>
        </w:rPr>
        <w:t>О</w:t>
      </w:r>
      <w:r w:rsidRPr="009D7489">
        <w:t>АО «Каббалкэнерго» как субъект оптового рынка в 2014 году приобретало электроэнергию и мощность с использованием следующих способов:</w:t>
      </w:r>
    </w:p>
    <w:p w:rsidR="00AD1F84" w:rsidRPr="009D7489" w:rsidRDefault="00AD1F84" w:rsidP="00AE0E97">
      <w:pPr>
        <w:numPr>
          <w:ilvl w:val="0"/>
          <w:numId w:val="15"/>
        </w:numPr>
        <w:spacing w:after="200"/>
        <w:ind w:left="1080"/>
        <w:contextualSpacing/>
        <w:jc w:val="both"/>
        <w:rPr>
          <w:color w:val="000000"/>
        </w:rPr>
      </w:pPr>
      <w:r w:rsidRPr="009D7489">
        <w:rPr>
          <w:color w:val="000000"/>
        </w:rPr>
        <w:t>по регулируемым ценам на основании регулируемых договоров купли-продажи электрической энергии и мощности;</w:t>
      </w:r>
    </w:p>
    <w:p w:rsidR="00AD1F84" w:rsidRPr="009D7489" w:rsidRDefault="00AD1F84" w:rsidP="00AE0E97">
      <w:pPr>
        <w:numPr>
          <w:ilvl w:val="0"/>
          <w:numId w:val="15"/>
        </w:numPr>
        <w:spacing w:after="200"/>
        <w:ind w:left="1080"/>
        <w:contextualSpacing/>
        <w:jc w:val="both"/>
        <w:rPr>
          <w:color w:val="000000"/>
        </w:rPr>
      </w:pPr>
      <w:r w:rsidRPr="009D7489">
        <w:rPr>
          <w:color w:val="000000"/>
        </w:rPr>
        <w:t>по свободным (нерегулируемым) ценам:</w:t>
      </w:r>
    </w:p>
    <w:p w:rsidR="00AD1F84" w:rsidRPr="009D7489" w:rsidRDefault="00AD1F84" w:rsidP="00AE0E97">
      <w:pPr>
        <w:numPr>
          <w:ilvl w:val="0"/>
          <w:numId w:val="15"/>
        </w:numPr>
        <w:autoSpaceDE w:val="0"/>
        <w:autoSpaceDN w:val="0"/>
        <w:adjustRightInd w:val="0"/>
        <w:spacing w:after="200"/>
        <w:ind w:left="1080"/>
        <w:contextualSpacing/>
        <w:jc w:val="both"/>
      </w:pPr>
      <w:r w:rsidRPr="009D7489">
        <w:t xml:space="preserve">на основании договора купли-продажи </w:t>
      </w:r>
      <w:r w:rsidRPr="009D7489">
        <w:rPr>
          <w:color w:val="000000"/>
        </w:rPr>
        <w:t>электрической энергии по результатам конкурентного отбора ценовых заявок на сутки вперед</w:t>
      </w:r>
      <w:r w:rsidRPr="009D7489">
        <w:t xml:space="preserve"> </w:t>
      </w:r>
      <w:r w:rsidRPr="009D7489">
        <w:rPr>
          <w:color w:val="000000"/>
        </w:rPr>
        <w:t>(РСВ);</w:t>
      </w:r>
    </w:p>
    <w:p w:rsidR="00AD1F84" w:rsidRPr="009D7489" w:rsidRDefault="00AD1F84" w:rsidP="00AE0E97">
      <w:pPr>
        <w:numPr>
          <w:ilvl w:val="0"/>
          <w:numId w:val="15"/>
        </w:numPr>
        <w:autoSpaceDE w:val="0"/>
        <w:autoSpaceDN w:val="0"/>
        <w:adjustRightInd w:val="0"/>
        <w:spacing w:after="200"/>
        <w:ind w:left="1080"/>
        <w:contextualSpacing/>
        <w:jc w:val="both"/>
        <w:rPr>
          <w:color w:val="000000"/>
        </w:rPr>
      </w:pPr>
      <w:r w:rsidRPr="009D7489">
        <w:t xml:space="preserve">на основании договора </w:t>
      </w:r>
      <w:r w:rsidRPr="009D7489">
        <w:rPr>
          <w:color w:val="000000"/>
        </w:rPr>
        <w:t>купли-продажи электрической энергии по результатам конкурентного отбора заявок для балансирования системы (БР);</w:t>
      </w:r>
    </w:p>
    <w:p w:rsidR="00AD1F84" w:rsidRPr="009D7489" w:rsidRDefault="00AD1F84" w:rsidP="00AE0E97">
      <w:pPr>
        <w:numPr>
          <w:ilvl w:val="0"/>
          <w:numId w:val="15"/>
        </w:numPr>
        <w:autoSpaceDE w:val="0"/>
        <w:autoSpaceDN w:val="0"/>
        <w:adjustRightInd w:val="0"/>
        <w:spacing w:after="200"/>
        <w:ind w:left="1080"/>
        <w:contextualSpacing/>
        <w:jc w:val="both"/>
      </w:pPr>
      <w:r w:rsidRPr="009D7489">
        <w:t>на основании договоров  купли-продажи мощности по результатам конкурентного отбора мощности (КОМ);</w:t>
      </w:r>
    </w:p>
    <w:p w:rsidR="00AD1F84" w:rsidRPr="009D7489" w:rsidRDefault="00AD1F84" w:rsidP="00AE0E97">
      <w:pPr>
        <w:numPr>
          <w:ilvl w:val="0"/>
          <w:numId w:val="15"/>
        </w:numPr>
        <w:spacing w:after="200"/>
        <w:ind w:left="1080"/>
        <w:contextualSpacing/>
        <w:jc w:val="both"/>
        <w:rPr>
          <w:color w:val="000000"/>
        </w:rPr>
      </w:pPr>
      <w:r w:rsidRPr="009D7489">
        <w:t xml:space="preserve">на основании договоров  </w:t>
      </w:r>
      <w:r w:rsidRPr="009D7489">
        <w:rPr>
          <w:color w:val="000000"/>
        </w:rPr>
        <w:t>о предоставлении мощности (ДПМ);</w:t>
      </w:r>
    </w:p>
    <w:p w:rsidR="00AD1F84" w:rsidRPr="009D7489" w:rsidRDefault="00AD1F84" w:rsidP="00AE0E97">
      <w:pPr>
        <w:numPr>
          <w:ilvl w:val="0"/>
          <w:numId w:val="15"/>
        </w:numPr>
        <w:spacing w:after="200"/>
        <w:ind w:left="1080"/>
        <w:contextualSpacing/>
        <w:jc w:val="both"/>
      </w:pPr>
      <w:r w:rsidRPr="009D7489">
        <w:t>на основании договоров  купли-продажи (поставки) мощности новых гидроэлектростанций (в том числе гидроаккумулирующих электростанций) и договоров купли-продажи (поставки) мощности новых атомных станций (ДПМ АЭС/ГЭС).</w:t>
      </w:r>
    </w:p>
    <w:p w:rsidR="00AD1F84" w:rsidRPr="009D7489" w:rsidRDefault="00AD1F84" w:rsidP="009D7489">
      <w:pPr>
        <w:ind w:firstLine="720"/>
        <w:jc w:val="both"/>
      </w:pPr>
      <w:r w:rsidRPr="009D7489">
        <w:t>Кроме того, ОАО «Каббалкэнерго» осуществляло продажу электроэнергии на оптовом рынке с использованием следующих способов:</w:t>
      </w:r>
    </w:p>
    <w:p w:rsidR="00AD1F84" w:rsidRPr="009D7489" w:rsidRDefault="00AD1F84" w:rsidP="00AE0E97">
      <w:pPr>
        <w:numPr>
          <w:ilvl w:val="0"/>
          <w:numId w:val="15"/>
        </w:numPr>
        <w:autoSpaceDE w:val="0"/>
        <w:autoSpaceDN w:val="0"/>
        <w:adjustRightInd w:val="0"/>
        <w:spacing w:after="200"/>
        <w:ind w:left="1080"/>
        <w:contextualSpacing/>
        <w:jc w:val="both"/>
      </w:pPr>
      <w:r w:rsidRPr="009D7489">
        <w:t>на основании договора комиссии на продажу электрической энергии по результатам конкурентного отбора ценовых заявок на сутки вперед (РСВ);</w:t>
      </w:r>
    </w:p>
    <w:p w:rsidR="00AD1F84" w:rsidRPr="009D7489" w:rsidRDefault="00AD1F84" w:rsidP="00AE0E97">
      <w:pPr>
        <w:numPr>
          <w:ilvl w:val="0"/>
          <w:numId w:val="15"/>
        </w:numPr>
        <w:autoSpaceDE w:val="0"/>
        <w:autoSpaceDN w:val="0"/>
        <w:adjustRightInd w:val="0"/>
        <w:spacing w:after="200"/>
        <w:ind w:left="1080"/>
        <w:contextualSpacing/>
        <w:jc w:val="both"/>
      </w:pPr>
      <w:r w:rsidRPr="009D7489">
        <w:t>на основании договора комиссии на продажу электрической энергии по результатам  конкурентного отбора заявок для балансирования системы (БР).</w:t>
      </w:r>
    </w:p>
    <w:p w:rsidR="00AD1F84" w:rsidRPr="009D7489" w:rsidRDefault="00AD1F84" w:rsidP="009D7489">
      <w:pPr>
        <w:ind w:firstLine="680"/>
        <w:jc w:val="both"/>
        <w:rPr>
          <w:color w:val="000000"/>
        </w:rPr>
      </w:pPr>
      <w:r w:rsidRPr="009D7489">
        <w:rPr>
          <w:color w:val="000000"/>
        </w:rPr>
        <w:t>Общий объем покупки электрической энергии (без учета продажи) ОАО «Каббалкэнерго» в 2014г. составил в 1667,1 млн. кВт.ч, в т.ч.:</w:t>
      </w:r>
    </w:p>
    <w:p w:rsidR="00AD1F84" w:rsidRPr="009D7489" w:rsidRDefault="00AD1F84" w:rsidP="009D7489">
      <w:pPr>
        <w:ind w:firstLine="680"/>
        <w:jc w:val="both"/>
        <w:rPr>
          <w:color w:val="000000"/>
        </w:rPr>
      </w:pPr>
      <w:r w:rsidRPr="009D7489">
        <w:rPr>
          <w:color w:val="000000"/>
        </w:rPr>
        <w:lastRenderedPageBreak/>
        <w:t>- по регулируемым договорам – 1531,6 млн.кВт.ч;</w:t>
      </w:r>
    </w:p>
    <w:p w:rsidR="00AD1F84" w:rsidRPr="009D7489" w:rsidRDefault="00AD1F84" w:rsidP="009D7489">
      <w:pPr>
        <w:ind w:firstLine="680"/>
        <w:jc w:val="both"/>
        <w:rPr>
          <w:color w:val="000000"/>
        </w:rPr>
      </w:pPr>
      <w:r w:rsidRPr="009D7489">
        <w:rPr>
          <w:color w:val="000000"/>
        </w:rPr>
        <w:t>- на рынке на сутки вперед – 89,8 млн. кВт.ч;</w:t>
      </w:r>
    </w:p>
    <w:p w:rsidR="00AD1F84" w:rsidRPr="009D7489" w:rsidRDefault="00AD1F84" w:rsidP="009D7489">
      <w:pPr>
        <w:ind w:firstLine="680"/>
        <w:jc w:val="both"/>
        <w:rPr>
          <w:color w:val="000000"/>
        </w:rPr>
      </w:pPr>
      <w:r w:rsidRPr="009D7489">
        <w:rPr>
          <w:color w:val="000000"/>
        </w:rPr>
        <w:t>- на балансирующем рынке – 23,5 млн. кВт.ч;</w:t>
      </w:r>
    </w:p>
    <w:p w:rsidR="00AD1F84" w:rsidRPr="009D7489" w:rsidRDefault="00AD1F84" w:rsidP="009D7489">
      <w:pPr>
        <w:ind w:firstLine="680"/>
        <w:jc w:val="both"/>
        <w:rPr>
          <w:color w:val="000000"/>
        </w:rPr>
      </w:pPr>
      <w:r w:rsidRPr="009D7489">
        <w:rPr>
          <w:color w:val="000000"/>
        </w:rPr>
        <w:t>- у розничных производителей – 22,2 млн.кВт.ч;</w:t>
      </w:r>
    </w:p>
    <w:p w:rsidR="00AD1F84" w:rsidRPr="009D7489" w:rsidRDefault="00AD1F84" w:rsidP="009D7489">
      <w:pPr>
        <w:ind w:firstLine="680"/>
        <w:jc w:val="both"/>
        <w:rPr>
          <w:color w:val="000000"/>
        </w:rPr>
      </w:pPr>
      <w:r w:rsidRPr="009D7489">
        <w:rPr>
          <w:color w:val="000000"/>
        </w:rPr>
        <w:t>Продажа электрической энергии в свободных секторах оптового рынка в 2014г. составила 86,2 млн. кВт.ч. электроэнергии, в т.ч.:</w:t>
      </w:r>
    </w:p>
    <w:p w:rsidR="00AD1F84" w:rsidRPr="009D7489" w:rsidRDefault="00AD1F84" w:rsidP="009D7489">
      <w:pPr>
        <w:ind w:firstLine="680"/>
        <w:jc w:val="both"/>
        <w:rPr>
          <w:color w:val="000000"/>
        </w:rPr>
      </w:pPr>
      <w:r w:rsidRPr="009D7489">
        <w:rPr>
          <w:color w:val="000000"/>
        </w:rPr>
        <w:t>- на рынке на сутки вперед – 38,5 млн. кВт.ч;</w:t>
      </w:r>
    </w:p>
    <w:p w:rsidR="00AD1F84" w:rsidRPr="009D7489" w:rsidRDefault="00AD1F84" w:rsidP="009D7489">
      <w:pPr>
        <w:ind w:firstLine="680"/>
        <w:jc w:val="both"/>
        <w:rPr>
          <w:color w:val="000000"/>
        </w:rPr>
      </w:pPr>
      <w:r w:rsidRPr="009D7489">
        <w:rPr>
          <w:color w:val="000000"/>
        </w:rPr>
        <w:t>- на балансирующем рынке – 47,7 млн. кВт.ч.</w:t>
      </w:r>
    </w:p>
    <w:p w:rsidR="00AD1F84" w:rsidRPr="009D7489" w:rsidRDefault="00AD1F84" w:rsidP="009D7489">
      <w:pPr>
        <w:ind w:firstLine="684"/>
        <w:rPr>
          <w:color w:val="000000"/>
        </w:rPr>
      </w:pPr>
      <w:r w:rsidRPr="009D7489">
        <w:rPr>
          <w:color w:val="000000"/>
        </w:rPr>
        <w:t>Объем покупки нагрузочных потерь в 2014 году составил 36,9 млн. кВт.ч.</w:t>
      </w:r>
    </w:p>
    <w:p w:rsidR="00AD1F84" w:rsidRPr="009D7489" w:rsidRDefault="00AD1F84" w:rsidP="009D7489">
      <w:pPr>
        <w:ind w:firstLine="680"/>
        <w:jc w:val="both"/>
      </w:pPr>
      <w:r w:rsidRPr="009D7489">
        <w:rPr>
          <w:color w:val="000000"/>
        </w:rPr>
        <w:t>Сальдированное значение покупки электрической энергии на оптовом и розничном рынках электрической энергии (мощности) в 2014 году составило 1544,0 млн. кВт.ч.</w:t>
      </w:r>
    </w:p>
    <w:p w:rsidR="00AD1F84" w:rsidRPr="009D7489" w:rsidRDefault="00AD1F84" w:rsidP="009D7489">
      <w:pPr>
        <w:ind w:firstLine="360"/>
        <w:jc w:val="both"/>
        <w:rPr>
          <w:rFonts w:eastAsia="Calibri"/>
          <w:lang w:eastAsia="en-US"/>
        </w:rPr>
      </w:pPr>
    </w:p>
    <w:p w:rsidR="009D7489" w:rsidRPr="00792709" w:rsidRDefault="00080F59" w:rsidP="00080F59">
      <w:pPr>
        <w:jc w:val="center"/>
        <w:rPr>
          <w:rFonts w:eastAsia="Calibri"/>
          <w:b/>
          <w:sz w:val="28"/>
          <w:lang w:eastAsia="en-US"/>
        </w:rPr>
      </w:pPr>
      <w:r w:rsidRPr="00792709">
        <w:rPr>
          <w:rFonts w:eastAsia="Calibri"/>
          <w:b/>
          <w:sz w:val="28"/>
          <w:lang w:eastAsia="en-US"/>
        </w:rPr>
        <w:t xml:space="preserve">4.1.1. </w:t>
      </w:r>
      <w:r w:rsidR="00AD1F84" w:rsidRPr="00792709">
        <w:rPr>
          <w:rFonts w:eastAsia="Calibri"/>
          <w:b/>
          <w:sz w:val="28"/>
          <w:lang w:eastAsia="en-US"/>
        </w:rPr>
        <w:t xml:space="preserve">Натуральные показатели деятельности </w:t>
      </w:r>
      <w:r w:rsidRPr="00792709">
        <w:rPr>
          <w:rFonts w:eastAsia="Calibri"/>
          <w:b/>
          <w:sz w:val="28"/>
          <w:lang w:eastAsia="en-US"/>
        </w:rPr>
        <w:t xml:space="preserve">общества </w:t>
      </w:r>
      <w:r w:rsidR="00AD1F84" w:rsidRPr="00792709">
        <w:rPr>
          <w:rFonts w:eastAsia="Calibri"/>
          <w:b/>
          <w:sz w:val="28"/>
          <w:lang w:eastAsia="en-US"/>
        </w:rPr>
        <w:t>на ОРЭМ</w:t>
      </w:r>
      <w:r w:rsidRPr="00792709">
        <w:rPr>
          <w:rFonts w:eastAsia="Calibri"/>
          <w:b/>
          <w:sz w:val="28"/>
          <w:lang w:eastAsia="en-US"/>
        </w:rPr>
        <w:t xml:space="preserve"> в 2014 г.</w:t>
      </w:r>
    </w:p>
    <w:p w:rsidR="00080F59" w:rsidRPr="00080F59" w:rsidRDefault="00080F59" w:rsidP="00080F59">
      <w:pPr>
        <w:pStyle w:val="a9"/>
        <w:ind w:left="1800"/>
        <w:jc w:val="both"/>
        <w:rPr>
          <w:rFonts w:eastAsia="Calibri"/>
          <w:b/>
          <w:lang w:eastAsia="en-US"/>
        </w:rPr>
      </w:pPr>
    </w:p>
    <w:p w:rsidR="00AD1F84" w:rsidRDefault="00AD1F84" w:rsidP="009D7489">
      <w:pPr>
        <w:jc w:val="center"/>
        <w:rPr>
          <w:b/>
        </w:rPr>
      </w:pPr>
      <w:r w:rsidRPr="004A4746">
        <w:rPr>
          <w:b/>
        </w:rPr>
        <w:t>Динамика фактического потребления электроэнергии в 2012-2014 гг.</w:t>
      </w:r>
    </w:p>
    <w:tbl>
      <w:tblPr>
        <w:tblpPr w:leftFromText="180" w:rightFromText="180" w:vertAnchor="text" w:horzAnchor="margin" w:tblpY="19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1"/>
        <w:gridCol w:w="2111"/>
        <w:gridCol w:w="2111"/>
        <w:gridCol w:w="1639"/>
        <w:gridCol w:w="1701"/>
      </w:tblGrid>
      <w:tr w:rsidR="004A4746" w:rsidRPr="007D6484" w:rsidTr="004A4746">
        <w:trPr>
          <w:trHeight w:val="434"/>
        </w:trPr>
        <w:tc>
          <w:tcPr>
            <w:tcW w:w="1091" w:type="pct"/>
            <w:vAlign w:val="center"/>
            <w:hideMark/>
          </w:tcPr>
          <w:p w:rsidR="004A4746" w:rsidRPr="007D6484" w:rsidRDefault="004A4746" w:rsidP="004A4746">
            <w:pPr>
              <w:spacing w:line="276" w:lineRule="auto"/>
              <w:jc w:val="center"/>
              <w:rPr>
                <w:b/>
                <w:bCs/>
              </w:rPr>
            </w:pPr>
            <w:r w:rsidRPr="007D6484">
              <w:rPr>
                <w:b/>
                <w:bCs/>
              </w:rPr>
              <w:t>2012</w:t>
            </w:r>
            <w:r>
              <w:rPr>
                <w:b/>
                <w:bCs/>
              </w:rPr>
              <w:t xml:space="preserve"> </w:t>
            </w:r>
            <w:r w:rsidRPr="007D6484">
              <w:rPr>
                <w:b/>
                <w:bCs/>
              </w:rPr>
              <w:t>г</w:t>
            </w:r>
            <w:r>
              <w:rPr>
                <w:b/>
                <w:bCs/>
              </w:rPr>
              <w:t>.</w:t>
            </w:r>
          </w:p>
        </w:tc>
        <w:tc>
          <w:tcPr>
            <w:tcW w:w="1091" w:type="pct"/>
            <w:vAlign w:val="center"/>
            <w:hideMark/>
          </w:tcPr>
          <w:p w:rsidR="004A4746" w:rsidRPr="007D6484" w:rsidRDefault="004A4746" w:rsidP="004A4746">
            <w:pPr>
              <w:spacing w:line="276" w:lineRule="auto"/>
              <w:jc w:val="center"/>
              <w:rPr>
                <w:b/>
                <w:bCs/>
              </w:rPr>
            </w:pPr>
            <w:r w:rsidRPr="007D6484">
              <w:rPr>
                <w:b/>
                <w:bCs/>
              </w:rPr>
              <w:t>2013</w:t>
            </w:r>
            <w:r>
              <w:rPr>
                <w:b/>
                <w:bCs/>
              </w:rPr>
              <w:t xml:space="preserve"> </w:t>
            </w:r>
            <w:r w:rsidRPr="007D6484">
              <w:rPr>
                <w:b/>
                <w:bCs/>
              </w:rPr>
              <w:t>г</w:t>
            </w:r>
            <w:r>
              <w:rPr>
                <w:b/>
                <w:bCs/>
              </w:rPr>
              <w:t>.</w:t>
            </w:r>
          </w:p>
        </w:tc>
        <w:tc>
          <w:tcPr>
            <w:tcW w:w="1091" w:type="pct"/>
            <w:vAlign w:val="center"/>
          </w:tcPr>
          <w:p w:rsidR="004A4746" w:rsidRPr="007D6484" w:rsidRDefault="004A4746" w:rsidP="004A4746">
            <w:pPr>
              <w:spacing w:line="276" w:lineRule="auto"/>
              <w:jc w:val="center"/>
              <w:rPr>
                <w:b/>
                <w:bCs/>
              </w:rPr>
            </w:pPr>
            <w:r w:rsidRPr="007D6484">
              <w:rPr>
                <w:b/>
                <w:bCs/>
              </w:rPr>
              <w:t>2014</w:t>
            </w:r>
            <w:r>
              <w:rPr>
                <w:b/>
                <w:bCs/>
              </w:rPr>
              <w:t xml:space="preserve"> </w:t>
            </w:r>
            <w:r w:rsidRPr="007D6484">
              <w:rPr>
                <w:b/>
                <w:bCs/>
              </w:rPr>
              <w:t>г</w:t>
            </w:r>
            <w:r>
              <w:rPr>
                <w:b/>
                <w:bCs/>
              </w:rPr>
              <w:t>.</w:t>
            </w:r>
          </w:p>
        </w:tc>
        <w:tc>
          <w:tcPr>
            <w:tcW w:w="847" w:type="pct"/>
            <w:vAlign w:val="center"/>
            <w:hideMark/>
          </w:tcPr>
          <w:p w:rsidR="004A4746" w:rsidRPr="007D6484" w:rsidRDefault="004A4746" w:rsidP="004A4746">
            <w:pPr>
              <w:spacing w:line="276" w:lineRule="auto"/>
              <w:jc w:val="center"/>
              <w:rPr>
                <w:bCs/>
              </w:rPr>
            </w:pPr>
            <w:r w:rsidRPr="007D6484">
              <w:rPr>
                <w:bCs/>
              </w:rPr>
              <w:t>откл.2013г</w:t>
            </w:r>
            <w:r>
              <w:rPr>
                <w:bCs/>
              </w:rPr>
              <w:t xml:space="preserve">. </w:t>
            </w:r>
            <w:r w:rsidRPr="007D6484">
              <w:rPr>
                <w:bCs/>
              </w:rPr>
              <w:t>/2012г</w:t>
            </w:r>
            <w:r>
              <w:rPr>
                <w:bCs/>
              </w:rPr>
              <w:t>.</w:t>
            </w:r>
          </w:p>
        </w:tc>
        <w:tc>
          <w:tcPr>
            <w:tcW w:w="879" w:type="pct"/>
            <w:vAlign w:val="center"/>
            <w:hideMark/>
          </w:tcPr>
          <w:p w:rsidR="004A4746" w:rsidRPr="007D6484" w:rsidRDefault="004A4746" w:rsidP="004A4746">
            <w:pPr>
              <w:spacing w:line="276" w:lineRule="auto"/>
              <w:jc w:val="center"/>
              <w:rPr>
                <w:bCs/>
              </w:rPr>
            </w:pPr>
            <w:r w:rsidRPr="007D6484">
              <w:rPr>
                <w:bCs/>
              </w:rPr>
              <w:t>откл.2014г</w:t>
            </w:r>
            <w:r>
              <w:rPr>
                <w:bCs/>
              </w:rPr>
              <w:t xml:space="preserve">. </w:t>
            </w:r>
            <w:r w:rsidRPr="007D6484">
              <w:rPr>
                <w:bCs/>
              </w:rPr>
              <w:t>/2013г</w:t>
            </w:r>
            <w:r>
              <w:rPr>
                <w:bCs/>
              </w:rPr>
              <w:t>.</w:t>
            </w:r>
          </w:p>
        </w:tc>
      </w:tr>
      <w:tr w:rsidR="004A4746" w:rsidRPr="007D6484" w:rsidTr="004A4746">
        <w:trPr>
          <w:trHeight w:val="301"/>
        </w:trPr>
        <w:tc>
          <w:tcPr>
            <w:tcW w:w="1091" w:type="pct"/>
            <w:vAlign w:val="center"/>
            <w:hideMark/>
          </w:tcPr>
          <w:p w:rsidR="004A4746" w:rsidRPr="007D6484" w:rsidRDefault="004A4746" w:rsidP="004A4746">
            <w:pPr>
              <w:spacing w:line="276" w:lineRule="auto"/>
              <w:jc w:val="center"/>
            </w:pPr>
            <w:r w:rsidRPr="007D6484">
              <w:t>млн. кВт.ч</w:t>
            </w:r>
          </w:p>
        </w:tc>
        <w:tc>
          <w:tcPr>
            <w:tcW w:w="1091" w:type="pct"/>
            <w:vAlign w:val="center"/>
            <w:hideMark/>
          </w:tcPr>
          <w:p w:rsidR="004A4746" w:rsidRPr="007D6484" w:rsidRDefault="004A4746" w:rsidP="004A4746">
            <w:pPr>
              <w:spacing w:line="276" w:lineRule="auto"/>
              <w:jc w:val="center"/>
            </w:pPr>
            <w:r w:rsidRPr="007D6484">
              <w:t>млн. кВт.ч</w:t>
            </w:r>
          </w:p>
        </w:tc>
        <w:tc>
          <w:tcPr>
            <w:tcW w:w="1091" w:type="pct"/>
            <w:vAlign w:val="center"/>
          </w:tcPr>
          <w:p w:rsidR="004A4746" w:rsidRPr="007D6484" w:rsidRDefault="004A4746" w:rsidP="004A4746">
            <w:pPr>
              <w:spacing w:line="276" w:lineRule="auto"/>
              <w:jc w:val="center"/>
            </w:pPr>
            <w:r w:rsidRPr="007D6484">
              <w:t>млн. кВт.ч</w:t>
            </w:r>
          </w:p>
        </w:tc>
        <w:tc>
          <w:tcPr>
            <w:tcW w:w="847" w:type="pct"/>
            <w:vAlign w:val="center"/>
            <w:hideMark/>
          </w:tcPr>
          <w:p w:rsidR="004A4746" w:rsidRPr="007D6484" w:rsidRDefault="004A4746" w:rsidP="004A4746">
            <w:pPr>
              <w:spacing w:line="276" w:lineRule="auto"/>
              <w:jc w:val="center"/>
            </w:pPr>
            <w:r w:rsidRPr="007D6484">
              <w:t>%</w:t>
            </w:r>
          </w:p>
        </w:tc>
        <w:tc>
          <w:tcPr>
            <w:tcW w:w="879" w:type="pct"/>
            <w:vAlign w:val="center"/>
            <w:hideMark/>
          </w:tcPr>
          <w:p w:rsidR="004A4746" w:rsidRPr="007D6484" w:rsidRDefault="004A4746" w:rsidP="004A4746">
            <w:pPr>
              <w:spacing w:line="276" w:lineRule="auto"/>
              <w:jc w:val="center"/>
            </w:pPr>
            <w:r w:rsidRPr="007D6484">
              <w:t>%</w:t>
            </w:r>
          </w:p>
        </w:tc>
      </w:tr>
      <w:tr w:rsidR="004A4746" w:rsidRPr="007D6484" w:rsidTr="004A4746">
        <w:trPr>
          <w:trHeight w:val="434"/>
        </w:trPr>
        <w:tc>
          <w:tcPr>
            <w:tcW w:w="1091" w:type="pct"/>
            <w:vAlign w:val="center"/>
          </w:tcPr>
          <w:p w:rsidR="004A4746" w:rsidRPr="009D7489" w:rsidRDefault="004A4746" w:rsidP="004A4746">
            <w:pPr>
              <w:jc w:val="center"/>
            </w:pPr>
            <w:r w:rsidRPr="009D7489">
              <w:t>1479,1</w:t>
            </w:r>
          </w:p>
        </w:tc>
        <w:tc>
          <w:tcPr>
            <w:tcW w:w="1091" w:type="pct"/>
            <w:vAlign w:val="center"/>
          </w:tcPr>
          <w:p w:rsidR="004A4746" w:rsidRPr="009D7489" w:rsidRDefault="004A4746" w:rsidP="004A4746">
            <w:pPr>
              <w:jc w:val="center"/>
            </w:pPr>
            <w:r w:rsidRPr="009D7489">
              <w:t>1501,5</w:t>
            </w:r>
          </w:p>
        </w:tc>
        <w:tc>
          <w:tcPr>
            <w:tcW w:w="1091" w:type="pct"/>
            <w:vAlign w:val="center"/>
          </w:tcPr>
          <w:p w:rsidR="004A4746" w:rsidRPr="009D7489" w:rsidRDefault="004A4746" w:rsidP="004A4746">
            <w:pPr>
              <w:jc w:val="center"/>
            </w:pPr>
            <w:r w:rsidRPr="009D7489">
              <w:t>1544,0</w:t>
            </w:r>
          </w:p>
        </w:tc>
        <w:tc>
          <w:tcPr>
            <w:tcW w:w="847" w:type="pct"/>
            <w:noWrap/>
            <w:vAlign w:val="center"/>
          </w:tcPr>
          <w:p w:rsidR="004A4746" w:rsidRPr="009D7489" w:rsidRDefault="004A4746" w:rsidP="004A4746">
            <w:pPr>
              <w:jc w:val="center"/>
            </w:pPr>
            <w:r w:rsidRPr="009D7489">
              <w:t>1,5</w:t>
            </w:r>
          </w:p>
        </w:tc>
        <w:tc>
          <w:tcPr>
            <w:tcW w:w="879" w:type="pct"/>
            <w:noWrap/>
            <w:vAlign w:val="center"/>
          </w:tcPr>
          <w:p w:rsidR="004A4746" w:rsidRPr="009D7489" w:rsidRDefault="004A4746" w:rsidP="004A4746">
            <w:pPr>
              <w:jc w:val="center"/>
            </w:pPr>
            <w:r w:rsidRPr="009D7489">
              <w:t>2,8</w:t>
            </w:r>
          </w:p>
        </w:tc>
      </w:tr>
    </w:tbl>
    <w:p w:rsidR="004A4746" w:rsidRDefault="004A4746" w:rsidP="009D7489">
      <w:pPr>
        <w:jc w:val="center"/>
        <w:rPr>
          <w:b/>
        </w:rPr>
      </w:pPr>
    </w:p>
    <w:p w:rsidR="004A4746" w:rsidRDefault="004A4746" w:rsidP="004A4746">
      <w:pPr>
        <w:ind w:firstLine="708"/>
        <w:jc w:val="both"/>
      </w:pPr>
      <w:r>
        <w:t xml:space="preserve">В 2014 году наблюдается рост энергопотребления </w:t>
      </w:r>
      <w:r w:rsidRPr="009D4E54">
        <w:t>по сравнению с 2013 годом</w:t>
      </w:r>
      <w:r>
        <w:t xml:space="preserve"> на 2,8%. Данное увеличение связано с ростом потребления электрической энергии населением и приравненными к нему потребителями, а также увеличением потребления крупным потребителем ООО «Моя Столица».</w:t>
      </w:r>
    </w:p>
    <w:p w:rsidR="004A4746" w:rsidRPr="004A4746" w:rsidRDefault="004A4746" w:rsidP="009D7489">
      <w:pPr>
        <w:jc w:val="center"/>
        <w:rPr>
          <w:b/>
        </w:rPr>
      </w:pPr>
    </w:p>
    <w:p w:rsidR="00AD1F84" w:rsidRPr="003A1500" w:rsidRDefault="00AD1F84" w:rsidP="00AD1F84">
      <w:pPr>
        <w:spacing w:line="276" w:lineRule="auto"/>
        <w:jc w:val="center"/>
        <w:rPr>
          <w:rFonts w:eastAsia="Calibri"/>
          <w:lang w:eastAsia="en-US"/>
        </w:rPr>
      </w:pPr>
      <w:r>
        <w:rPr>
          <w:noProof/>
        </w:rPr>
        <mc:AlternateContent>
          <mc:Choice Requires="wps">
            <w:drawing>
              <wp:anchor distT="0" distB="0" distL="114300" distR="114300" simplePos="0" relativeHeight="251688960" behindDoc="0" locked="0" layoutInCell="1" allowOverlap="1">
                <wp:simplePos x="0" y="0"/>
                <wp:positionH relativeFrom="column">
                  <wp:posOffset>2408</wp:posOffset>
                </wp:positionH>
                <wp:positionV relativeFrom="paragraph">
                  <wp:posOffset>625475</wp:posOffset>
                </wp:positionV>
                <wp:extent cx="342900" cy="1028700"/>
                <wp:effectExtent l="0" t="0"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47FEF" w:rsidRPr="004A4746" w:rsidRDefault="00247FEF" w:rsidP="00AD1F84">
                            <w:pPr>
                              <w:jc w:val="center"/>
                            </w:pPr>
                            <w:r w:rsidRPr="004A4746">
                              <w:t>млн. кВт.ч</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Поле 20" o:spid="_x0000_s1033" type="#_x0000_t202" style="position:absolute;left:0;text-align:left;margin-left:.2pt;margin-top:49.25pt;width:27pt;height:8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" filled="f" stroked="f">
                <v:textbox style="layout-flow:vertical;mso-layout-flow-alt:bottom-to-top">
                  <w:txbxContent>
                    <w:p w:rsidR="00247FEF" w:rsidRPr="004A4746" w:rsidRDefault="00247FEF" w:rsidP="00AD1F84">
                      <w:pPr>
                        <w:jc w:val="center"/>
                      </w:pPr>
                      <w:r w:rsidRPr="004A4746">
                        <w:t xml:space="preserve">млн. </w:t>
                      </w:r>
                      <w:proofErr w:type="spellStart"/>
                      <w:r w:rsidRPr="004A4746">
                        <w:t>кВт</w:t>
                      </w:r>
                      <w:proofErr w:type="gramStart"/>
                      <w:r w:rsidRPr="004A4746">
                        <w:t>.ч</w:t>
                      </w:r>
                      <w:proofErr w:type="spellEnd"/>
                      <w:proofErr w:type="gramEnd"/>
                    </w:p>
                  </w:txbxContent>
                </v:textbox>
              </v:shape>
            </w:pict>
          </mc:Fallback>
        </mc:AlternateContent>
      </w:r>
      <w:r>
        <w:rPr>
          <w:rFonts w:eastAsia="Calibri"/>
          <w:noProof/>
        </w:rPr>
        <w:drawing>
          <wp:inline distT="0" distB="0" distL="0" distR="0">
            <wp:extent cx="6055995" cy="2294890"/>
            <wp:effectExtent l="0" t="0" r="20955" b="10160"/>
            <wp:docPr id="19" name="Диаграмма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0012626C">
        <w:rPr>
          <w:rFonts w:eastAsia="Calibri"/>
          <w:lang w:eastAsia="en-US"/>
        </w:rPr>
        <w:t>Диаграмма</w:t>
      </w:r>
      <w:r w:rsidRPr="003A1500">
        <w:rPr>
          <w:rFonts w:eastAsia="Calibri"/>
          <w:lang w:eastAsia="en-US"/>
        </w:rPr>
        <w:t xml:space="preserve">. Динамика фактического потребления </w:t>
      </w:r>
      <w:r w:rsidRPr="003A1500">
        <w:t>электроэнергии</w:t>
      </w:r>
      <w:r w:rsidRPr="003A1500">
        <w:rPr>
          <w:rFonts w:eastAsia="Calibri"/>
          <w:lang w:eastAsia="en-US"/>
        </w:rPr>
        <w:t xml:space="preserve"> в 2012-2014 гг.</w:t>
      </w:r>
    </w:p>
    <w:p w:rsidR="00AD1F84" w:rsidRDefault="00AD1F84" w:rsidP="00AD1F84">
      <w:pPr>
        <w:spacing w:line="276" w:lineRule="auto"/>
        <w:jc w:val="center"/>
        <w:rPr>
          <w:sz w:val="20"/>
          <w:szCs w:val="20"/>
        </w:rPr>
      </w:pPr>
    </w:p>
    <w:p w:rsidR="00AD1F84" w:rsidRPr="004A4746" w:rsidRDefault="00AD1F84" w:rsidP="00AD1F84">
      <w:pPr>
        <w:spacing w:line="276" w:lineRule="auto"/>
        <w:jc w:val="center"/>
        <w:rPr>
          <w:b/>
        </w:rPr>
      </w:pPr>
      <w:r w:rsidRPr="004A4746">
        <w:rPr>
          <w:b/>
        </w:rPr>
        <w:t>Структура покупки электроэнергии в 2012-2014 гг., млн. кВт.ч</w:t>
      </w:r>
    </w:p>
    <w:tbl>
      <w:tblPr>
        <w:tblW w:w="49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3"/>
        <w:gridCol w:w="1698"/>
        <w:gridCol w:w="1361"/>
        <w:gridCol w:w="1996"/>
        <w:gridCol w:w="1332"/>
      </w:tblGrid>
      <w:tr w:rsidR="00AD1F84" w:rsidRPr="00FC4958" w:rsidTr="00FC4958">
        <w:trPr>
          <w:trHeight w:val="380"/>
        </w:trPr>
        <w:tc>
          <w:tcPr>
            <w:tcW w:w="1649" w:type="pct"/>
            <w:vMerge w:val="restar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FC4958">
            <w:pPr>
              <w:spacing w:line="276" w:lineRule="auto"/>
              <w:jc w:val="center"/>
              <w:rPr>
                <w:rFonts w:eastAsia="Calibri"/>
                <w:b/>
                <w:sz w:val="22"/>
                <w:szCs w:val="22"/>
                <w:lang w:eastAsia="en-US"/>
              </w:rPr>
            </w:pPr>
            <w:r w:rsidRPr="00FC4958">
              <w:rPr>
                <w:rFonts w:eastAsia="Calibri"/>
                <w:b/>
                <w:sz w:val="22"/>
                <w:szCs w:val="22"/>
                <w:lang w:eastAsia="en-US"/>
              </w:rPr>
              <w:t>Наименование показателя/период</w:t>
            </w:r>
          </w:p>
        </w:tc>
        <w:tc>
          <w:tcPr>
            <w:tcW w:w="1561" w:type="pct"/>
            <w:gridSpan w:val="2"/>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FC4958">
            <w:pPr>
              <w:spacing w:line="276" w:lineRule="auto"/>
              <w:jc w:val="center"/>
              <w:rPr>
                <w:rFonts w:eastAsia="Calibri"/>
                <w:b/>
                <w:sz w:val="22"/>
                <w:szCs w:val="22"/>
                <w:lang w:eastAsia="en-US"/>
              </w:rPr>
            </w:pPr>
            <w:r w:rsidRPr="00FC4958">
              <w:rPr>
                <w:rFonts w:eastAsia="Calibri"/>
                <w:b/>
                <w:sz w:val="22"/>
                <w:szCs w:val="22"/>
                <w:lang w:eastAsia="en-US"/>
              </w:rPr>
              <w:t>Покупка на оптовом рынке</w:t>
            </w:r>
          </w:p>
        </w:tc>
        <w:tc>
          <w:tcPr>
            <w:tcW w:w="1070" w:type="pct"/>
            <w:vMerge w:val="restar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FC4958">
            <w:pPr>
              <w:spacing w:line="276" w:lineRule="auto"/>
              <w:jc w:val="center"/>
              <w:rPr>
                <w:rFonts w:eastAsia="Calibri"/>
                <w:b/>
                <w:sz w:val="22"/>
                <w:szCs w:val="22"/>
                <w:lang w:eastAsia="en-US"/>
              </w:rPr>
            </w:pPr>
            <w:r w:rsidRPr="00FC4958">
              <w:rPr>
                <w:rFonts w:eastAsia="Calibri"/>
                <w:b/>
                <w:sz w:val="22"/>
                <w:szCs w:val="22"/>
                <w:lang w:eastAsia="en-US"/>
              </w:rPr>
              <w:t>Покупка на РРЭ у розничных производителей</w:t>
            </w:r>
          </w:p>
        </w:tc>
        <w:tc>
          <w:tcPr>
            <w:tcW w:w="720" w:type="pct"/>
            <w:vMerge w:val="restar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FC4958">
            <w:pPr>
              <w:spacing w:line="276" w:lineRule="auto"/>
              <w:jc w:val="center"/>
              <w:rPr>
                <w:rFonts w:eastAsia="Calibri"/>
                <w:b/>
                <w:sz w:val="22"/>
                <w:szCs w:val="22"/>
                <w:lang w:eastAsia="en-US"/>
              </w:rPr>
            </w:pPr>
            <w:r w:rsidRPr="00FC4958">
              <w:rPr>
                <w:rFonts w:eastAsia="Calibri"/>
                <w:b/>
                <w:sz w:val="22"/>
                <w:szCs w:val="22"/>
                <w:lang w:eastAsia="en-US"/>
              </w:rPr>
              <w:t>Покупка,</w:t>
            </w:r>
          </w:p>
          <w:p w:rsidR="00AD1F84" w:rsidRPr="00FC4958" w:rsidRDefault="00AD1F84" w:rsidP="00FC4958">
            <w:pPr>
              <w:spacing w:line="276" w:lineRule="auto"/>
              <w:jc w:val="center"/>
              <w:rPr>
                <w:rFonts w:eastAsia="Calibri"/>
                <w:b/>
                <w:sz w:val="22"/>
                <w:szCs w:val="22"/>
                <w:lang w:eastAsia="en-US"/>
              </w:rPr>
            </w:pPr>
            <w:r w:rsidRPr="00FC4958">
              <w:rPr>
                <w:rFonts w:eastAsia="Calibri"/>
                <w:b/>
                <w:sz w:val="22"/>
                <w:szCs w:val="22"/>
                <w:lang w:eastAsia="en-US"/>
              </w:rPr>
              <w:t>итого</w:t>
            </w:r>
          </w:p>
        </w:tc>
      </w:tr>
      <w:tr w:rsidR="00AD1F84" w:rsidRPr="00FC4958" w:rsidTr="002F2EE5">
        <w:trPr>
          <w:trHeight w:val="505"/>
        </w:trPr>
        <w:tc>
          <w:tcPr>
            <w:tcW w:w="0" w:type="auto"/>
            <w:vMerge/>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rPr>
                <w:rFonts w:eastAsia="Calibri"/>
                <w:b/>
                <w:sz w:val="22"/>
                <w:szCs w:val="22"/>
                <w:lang w:eastAsia="en-US"/>
              </w:rPr>
            </w:pPr>
          </w:p>
        </w:tc>
        <w:tc>
          <w:tcPr>
            <w:tcW w:w="826" w:type="pct"/>
            <w:tcBorders>
              <w:top w:val="single" w:sz="4" w:space="0" w:color="auto"/>
              <w:left w:val="single" w:sz="4" w:space="0" w:color="auto"/>
              <w:bottom w:val="single" w:sz="4" w:space="0" w:color="auto"/>
              <w:right w:val="single" w:sz="4" w:space="0" w:color="auto"/>
            </w:tcBorders>
            <w:hideMark/>
          </w:tcPr>
          <w:p w:rsidR="00AD1F84" w:rsidRPr="00FC4958" w:rsidRDefault="00AD1F84" w:rsidP="002F2EE5">
            <w:pPr>
              <w:spacing w:line="276" w:lineRule="auto"/>
              <w:jc w:val="center"/>
              <w:rPr>
                <w:rFonts w:eastAsia="Calibri"/>
                <w:b/>
                <w:sz w:val="22"/>
                <w:szCs w:val="22"/>
                <w:lang w:eastAsia="en-US"/>
              </w:rPr>
            </w:pPr>
            <w:r w:rsidRPr="00FC4958">
              <w:rPr>
                <w:rFonts w:eastAsia="Calibri"/>
                <w:b/>
                <w:sz w:val="22"/>
                <w:szCs w:val="22"/>
                <w:lang w:eastAsia="en-US"/>
              </w:rPr>
              <w:t>по регулируемым договорам</w:t>
            </w:r>
          </w:p>
        </w:tc>
        <w:tc>
          <w:tcPr>
            <w:tcW w:w="735" w:type="pct"/>
            <w:tcBorders>
              <w:top w:val="single" w:sz="4" w:space="0" w:color="auto"/>
              <w:left w:val="single" w:sz="4" w:space="0" w:color="auto"/>
              <w:bottom w:val="single" w:sz="4" w:space="0" w:color="auto"/>
              <w:right w:val="single" w:sz="4" w:space="0" w:color="auto"/>
            </w:tcBorders>
            <w:hideMark/>
          </w:tcPr>
          <w:p w:rsidR="00AD1F84" w:rsidRPr="00FC4958" w:rsidRDefault="00AD1F84" w:rsidP="002F2EE5">
            <w:pPr>
              <w:spacing w:line="276" w:lineRule="auto"/>
              <w:jc w:val="center"/>
              <w:rPr>
                <w:rFonts w:eastAsia="Calibri"/>
                <w:b/>
                <w:sz w:val="22"/>
                <w:szCs w:val="22"/>
                <w:lang w:eastAsia="en-US"/>
              </w:rPr>
            </w:pPr>
            <w:r w:rsidRPr="00FC4958">
              <w:rPr>
                <w:rFonts w:eastAsia="Calibri"/>
                <w:b/>
                <w:sz w:val="22"/>
                <w:szCs w:val="22"/>
                <w:lang w:eastAsia="en-US"/>
              </w:rPr>
              <w:t>по договорам на РСВ и БР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rPr>
                <w:rFonts w:eastAsia="Calibri"/>
                <w:b/>
                <w:sz w:val="22"/>
                <w:szCs w:val="22"/>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rPr>
                <w:rFonts w:eastAsia="Calibri"/>
                <w:b/>
                <w:sz w:val="22"/>
                <w:szCs w:val="22"/>
                <w:lang w:eastAsia="en-US"/>
              </w:rPr>
            </w:pPr>
          </w:p>
        </w:tc>
      </w:tr>
      <w:tr w:rsidR="00AD1F84" w:rsidRPr="00FC4958" w:rsidTr="002F2EE5">
        <w:trPr>
          <w:trHeight w:val="352"/>
        </w:trPr>
        <w:tc>
          <w:tcPr>
            <w:tcW w:w="1649" w:type="pc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2012 год</w:t>
            </w:r>
          </w:p>
        </w:tc>
        <w:tc>
          <w:tcPr>
            <w:tcW w:w="826"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1488,6</w:t>
            </w:r>
          </w:p>
        </w:tc>
        <w:tc>
          <w:tcPr>
            <w:tcW w:w="735"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102,5</w:t>
            </w:r>
          </w:p>
        </w:tc>
        <w:tc>
          <w:tcPr>
            <w:tcW w:w="107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23,3</w:t>
            </w:r>
          </w:p>
        </w:tc>
        <w:tc>
          <w:tcPr>
            <w:tcW w:w="72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1614,4</w:t>
            </w:r>
          </w:p>
        </w:tc>
      </w:tr>
      <w:tr w:rsidR="00AD1F84" w:rsidRPr="00FC4958" w:rsidTr="002F2EE5">
        <w:trPr>
          <w:trHeight w:val="352"/>
        </w:trPr>
        <w:tc>
          <w:tcPr>
            <w:tcW w:w="1649" w:type="pc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2013 год</w:t>
            </w:r>
          </w:p>
        </w:tc>
        <w:tc>
          <w:tcPr>
            <w:tcW w:w="826"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1539,2</w:t>
            </w:r>
          </w:p>
        </w:tc>
        <w:tc>
          <w:tcPr>
            <w:tcW w:w="735"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78,6</w:t>
            </w:r>
          </w:p>
        </w:tc>
        <w:tc>
          <w:tcPr>
            <w:tcW w:w="107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22,2</w:t>
            </w:r>
          </w:p>
        </w:tc>
        <w:tc>
          <w:tcPr>
            <w:tcW w:w="72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1640,0</w:t>
            </w:r>
          </w:p>
        </w:tc>
      </w:tr>
      <w:tr w:rsidR="00AD1F84" w:rsidRPr="00FC4958" w:rsidTr="002F2EE5">
        <w:trPr>
          <w:trHeight w:val="352"/>
        </w:trPr>
        <w:tc>
          <w:tcPr>
            <w:tcW w:w="1649" w:type="pc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lastRenderedPageBreak/>
              <w:t>откл. 2013/2012,млн.кВт.ч,</w:t>
            </w:r>
          </w:p>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w:t>
            </w:r>
          </w:p>
        </w:tc>
        <w:tc>
          <w:tcPr>
            <w:tcW w:w="826"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50,6</w:t>
            </w:r>
          </w:p>
          <w:p w:rsidR="00AD1F84" w:rsidRPr="00FC4958" w:rsidRDefault="00AD1F84" w:rsidP="002F2EE5">
            <w:pPr>
              <w:jc w:val="center"/>
              <w:rPr>
                <w:sz w:val="22"/>
                <w:szCs w:val="22"/>
              </w:rPr>
            </w:pPr>
            <w:r w:rsidRPr="00FC4958">
              <w:rPr>
                <w:sz w:val="22"/>
                <w:szCs w:val="22"/>
              </w:rPr>
              <w:t>3,4</w:t>
            </w:r>
          </w:p>
        </w:tc>
        <w:tc>
          <w:tcPr>
            <w:tcW w:w="735"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-23,9</w:t>
            </w:r>
          </w:p>
          <w:p w:rsidR="00AD1F84" w:rsidRPr="00FC4958" w:rsidRDefault="00AD1F84" w:rsidP="002F2EE5">
            <w:pPr>
              <w:jc w:val="center"/>
              <w:rPr>
                <w:sz w:val="22"/>
                <w:szCs w:val="22"/>
              </w:rPr>
            </w:pPr>
            <w:r w:rsidRPr="00FC4958">
              <w:rPr>
                <w:sz w:val="22"/>
                <w:szCs w:val="22"/>
              </w:rPr>
              <w:t>-23,3</w:t>
            </w:r>
          </w:p>
        </w:tc>
        <w:tc>
          <w:tcPr>
            <w:tcW w:w="107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-1,1</w:t>
            </w:r>
          </w:p>
          <w:p w:rsidR="00AD1F84" w:rsidRPr="00FC4958" w:rsidRDefault="00AD1F84" w:rsidP="002F2EE5">
            <w:pPr>
              <w:jc w:val="center"/>
              <w:rPr>
                <w:sz w:val="22"/>
                <w:szCs w:val="22"/>
              </w:rPr>
            </w:pPr>
            <w:r w:rsidRPr="00FC4958">
              <w:rPr>
                <w:sz w:val="22"/>
                <w:szCs w:val="22"/>
              </w:rPr>
              <w:t>-4,7</w:t>
            </w:r>
          </w:p>
        </w:tc>
        <w:tc>
          <w:tcPr>
            <w:tcW w:w="72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25,6</w:t>
            </w:r>
          </w:p>
          <w:p w:rsidR="00AD1F84" w:rsidRPr="00FC4958" w:rsidRDefault="00AD1F84" w:rsidP="002F2EE5">
            <w:pPr>
              <w:jc w:val="center"/>
              <w:rPr>
                <w:sz w:val="22"/>
                <w:szCs w:val="22"/>
              </w:rPr>
            </w:pPr>
            <w:r w:rsidRPr="00FC4958">
              <w:rPr>
                <w:sz w:val="22"/>
                <w:szCs w:val="22"/>
              </w:rPr>
              <w:t>1,6</w:t>
            </w:r>
          </w:p>
        </w:tc>
      </w:tr>
      <w:tr w:rsidR="00AD1F84" w:rsidRPr="00FC4958" w:rsidTr="002F2EE5">
        <w:trPr>
          <w:trHeight w:val="352"/>
        </w:trPr>
        <w:tc>
          <w:tcPr>
            <w:tcW w:w="1649" w:type="pc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2014 год</w:t>
            </w:r>
          </w:p>
        </w:tc>
        <w:tc>
          <w:tcPr>
            <w:tcW w:w="826"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1531,6</w:t>
            </w:r>
          </w:p>
        </w:tc>
        <w:tc>
          <w:tcPr>
            <w:tcW w:w="735"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113,3</w:t>
            </w:r>
          </w:p>
        </w:tc>
        <w:tc>
          <w:tcPr>
            <w:tcW w:w="107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22,2</w:t>
            </w:r>
          </w:p>
        </w:tc>
        <w:tc>
          <w:tcPr>
            <w:tcW w:w="72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1667,1</w:t>
            </w:r>
          </w:p>
        </w:tc>
      </w:tr>
      <w:tr w:rsidR="00AD1F84" w:rsidRPr="00FC4958" w:rsidTr="002F2EE5">
        <w:trPr>
          <w:trHeight w:val="352"/>
        </w:trPr>
        <w:tc>
          <w:tcPr>
            <w:tcW w:w="1649" w:type="pct"/>
            <w:tcBorders>
              <w:top w:val="single" w:sz="4" w:space="0" w:color="auto"/>
              <w:left w:val="single" w:sz="4" w:space="0" w:color="auto"/>
              <w:bottom w:val="single" w:sz="4" w:space="0" w:color="auto"/>
              <w:right w:val="single" w:sz="4" w:space="0" w:color="auto"/>
            </w:tcBorders>
            <w:vAlign w:val="center"/>
            <w:hideMark/>
          </w:tcPr>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откл. 2014/2013,млн.кВт.ч,</w:t>
            </w:r>
          </w:p>
          <w:p w:rsidR="00AD1F84" w:rsidRPr="00FC4958" w:rsidRDefault="00AD1F84" w:rsidP="002F2EE5">
            <w:pPr>
              <w:spacing w:line="276" w:lineRule="auto"/>
              <w:jc w:val="center"/>
              <w:rPr>
                <w:rFonts w:eastAsia="Calibri"/>
                <w:sz w:val="22"/>
                <w:szCs w:val="22"/>
                <w:lang w:eastAsia="en-US"/>
              </w:rPr>
            </w:pPr>
            <w:r w:rsidRPr="00FC4958">
              <w:rPr>
                <w:rFonts w:eastAsia="Calibri"/>
                <w:sz w:val="22"/>
                <w:szCs w:val="22"/>
                <w:lang w:eastAsia="en-US"/>
              </w:rPr>
              <w:t>(%)</w:t>
            </w:r>
          </w:p>
        </w:tc>
        <w:tc>
          <w:tcPr>
            <w:tcW w:w="826"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-7,6</w:t>
            </w:r>
          </w:p>
          <w:p w:rsidR="00AD1F84" w:rsidRPr="00FC4958" w:rsidRDefault="00AD1F84" w:rsidP="002F2EE5">
            <w:pPr>
              <w:jc w:val="center"/>
              <w:rPr>
                <w:sz w:val="22"/>
                <w:szCs w:val="22"/>
              </w:rPr>
            </w:pPr>
            <w:r w:rsidRPr="00FC4958">
              <w:rPr>
                <w:sz w:val="22"/>
                <w:szCs w:val="22"/>
              </w:rPr>
              <w:t>-0,5</w:t>
            </w:r>
          </w:p>
        </w:tc>
        <w:tc>
          <w:tcPr>
            <w:tcW w:w="735"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34,7</w:t>
            </w:r>
          </w:p>
          <w:p w:rsidR="00AD1F84" w:rsidRPr="00FC4958" w:rsidRDefault="00AD1F84" w:rsidP="002F2EE5">
            <w:pPr>
              <w:jc w:val="center"/>
              <w:rPr>
                <w:sz w:val="22"/>
                <w:szCs w:val="22"/>
              </w:rPr>
            </w:pPr>
            <w:r w:rsidRPr="00FC4958">
              <w:rPr>
                <w:sz w:val="22"/>
                <w:szCs w:val="22"/>
              </w:rPr>
              <w:t>44,1</w:t>
            </w:r>
          </w:p>
        </w:tc>
        <w:tc>
          <w:tcPr>
            <w:tcW w:w="107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0,0</w:t>
            </w:r>
          </w:p>
          <w:p w:rsidR="00AD1F84" w:rsidRPr="00FC4958" w:rsidRDefault="00AD1F84" w:rsidP="002F2EE5">
            <w:pPr>
              <w:jc w:val="center"/>
              <w:rPr>
                <w:sz w:val="22"/>
                <w:szCs w:val="22"/>
              </w:rPr>
            </w:pPr>
            <w:r w:rsidRPr="00FC4958">
              <w:rPr>
                <w:sz w:val="22"/>
                <w:szCs w:val="22"/>
              </w:rPr>
              <w:t>0,0</w:t>
            </w:r>
          </w:p>
        </w:tc>
        <w:tc>
          <w:tcPr>
            <w:tcW w:w="720" w:type="pct"/>
            <w:tcBorders>
              <w:top w:val="single" w:sz="4" w:space="0" w:color="auto"/>
              <w:left w:val="single" w:sz="4" w:space="0" w:color="auto"/>
              <w:bottom w:val="single" w:sz="4" w:space="0" w:color="auto"/>
              <w:right w:val="single" w:sz="4" w:space="0" w:color="auto"/>
            </w:tcBorders>
            <w:vAlign w:val="center"/>
          </w:tcPr>
          <w:p w:rsidR="00AD1F84" w:rsidRPr="00FC4958" w:rsidRDefault="00AD1F84" w:rsidP="002F2EE5">
            <w:pPr>
              <w:jc w:val="center"/>
              <w:rPr>
                <w:sz w:val="22"/>
                <w:szCs w:val="22"/>
              </w:rPr>
            </w:pPr>
            <w:r w:rsidRPr="00FC4958">
              <w:rPr>
                <w:sz w:val="22"/>
                <w:szCs w:val="22"/>
              </w:rPr>
              <w:t>27,1</w:t>
            </w:r>
          </w:p>
          <w:p w:rsidR="00AD1F84" w:rsidRPr="00FC4958" w:rsidRDefault="00AD1F84" w:rsidP="002F2EE5">
            <w:pPr>
              <w:jc w:val="center"/>
              <w:rPr>
                <w:sz w:val="22"/>
                <w:szCs w:val="22"/>
              </w:rPr>
            </w:pPr>
            <w:r w:rsidRPr="00FC4958">
              <w:rPr>
                <w:sz w:val="22"/>
                <w:szCs w:val="22"/>
              </w:rPr>
              <w:t>1,7</w:t>
            </w:r>
          </w:p>
        </w:tc>
      </w:tr>
    </w:tbl>
    <w:p w:rsidR="00AD1F84" w:rsidRDefault="00AD1F84" w:rsidP="00AD1F84">
      <w:pPr>
        <w:spacing w:line="276" w:lineRule="auto"/>
        <w:jc w:val="both"/>
        <w:rPr>
          <w:sz w:val="20"/>
          <w:szCs w:val="20"/>
        </w:rPr>
      </w:pPr>
      <w:r>
        <w:rPr>
          <w:sz w:val="20"/>
          <w:szCs w:val="20"/>
        </w:rPr>
        <w:tab/>
      </w:r>
    </w:p>
    <w:p w:rsidR="00AD1F84" w:rsidRDefault="00AD1F84" w:rsidP="004A4746">
      <w:pPr>
        <w:jc w:val="both"/>
      </w:pPr>
      <w:r>
        <w:rPr>
          <w:sz w:val="20"/>
          <w:szCs w:val="20"/>
        </w:rPr>
        <w:tab/>
      </w:r>
      <w:r w:rsidR="004A4746">
        <w:rPr>
          <w:sz w:val="20"/>
          <w:szCs w:val="20"/>
        </w:rPr>
        <w:t>В</w:t>
      </w:r>
      <w:r>
        <w:t xml:space="preserve"> 2014 году наблюдается незначительное увеличение покупки электроэнергии на 1,7%, что связано с увеличением объемов покупки по договорам на РСВ и БР на 44,1 %.</w:t>
      </w:r>
    </w:p>
    <w:p w:rsidR="00AD1F84" w:rsidRDefault="00AD1F84" w:rsidP="004A4746">
      <w:pPr>
        <w:ind w:firstLine="720"/>
        <w:jc w:val="both"/>
      </w:pPr>
      <w:r w:rsidRPr="008C4096">
        <w:rPr>
          <w:color w:val="000000"/>
        </w:rPr>
        <w:t xml:space="preserve">Объем покупки нагрузочных </w:t>
      </w:r>
      <w:r>
        <w:rPr>
          <w:color w:val="000000"/>
        </w:rPr>
        <w:t>потерь в 2014 году составил 36,9</w:t>
      </w:r>
      <w:r w:rsidRPr="008C4096">
        <w:rPr>
          <w:color w:val="000000"/>
        </w:rPr>
        <w:t xml:space="preserve"> млн. кВт.ч., а в 2013 году данный показатель составлял </w:t>
      </w:r>
      <w:r>
        <w:rPr>
          <w:color w:val="000000"/>
        </w:rPr>
        <w:t>36,0</w:t>
      </w:r>
      <w:r w:rsidRPr="008C4096">
        <w:rPr>
          <w:color w:val="000000"/>
        </w:rPr>
        <w:t xml:space="preserve"> млн. кВт.ч.</w:t>
      </w:r>
    </w:p>
    <w:p w:rsidR="00AD1F84" w:rsidRPr="00233A3F" w:rsidRDefault="00AD1F84" w:rsidP="00AD1F84">
      <w:pPr>
        <w:spacing w:line="276" w:lineRule="auto"/>
        <w:jc w:val="both"/>
        <w:rPr>
          <w:sz w:val="20"/>
          <w:szCs w:val="20"/>
        </w:rPr>
      </w:pPr>
      <w:r>
        <w:tab/>
      </w:r>
      <w:r>
        <w:rPr>
          <w:sz w:val="20"/>
          <w:szCs w:val="20"/>
        </w:rPr>
        <w:tab/>
      </w:r>
    </w:p>
    <w:p w:rsidR="00AD1F84" w:rsidRDefault="00AD1F84" w:rsidP="00AD1F84">
      <w:pPr>
        <w:spacing w:line="276" w:lineRule="auto"/>
        <w:jc w:val="center"/>
        <w:rPr>
          <w:b/>
        </w:rPr>
      </w:pPr>
      <w:r w:rsidRPr="004A4746">
        <w:rPr>
          <w:b/>
        </w:rPr>
        <w:t>Структура продажи электроэнергии на оптовом рынке в 2012-2014 гг., млн. кВт.ч</w:t>
      </w:r>
    </w:p>
    <w:p w:rsidR="004A4746" w:rsidRPr="004A4746" w:rsidRDefault="004A4746" w:rsidP="00AD1F84">
      <w:pPr>
        <w:spacing w:line="276" w:lineRule="auto"/>
        <w:jc w:val="center"/>
        <w:rPr>
          <w:b/>
          <w:sz w:val="1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4786"/>
      </w:tblGrid>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jc w:val="center"/>
              <w:rPr>
                <w:rFonts w:eastAsia="Calibri"/>
                <w:b/>
                <w:bCs/>
                <w:sz w:val="22"/>
                <w:szCs w:val="22"/>
                <w:lang w:eastAsia="en-US"/>
              </w:rPr>
            </w:pPr>
            <w:r w:rsidRPr="00FC4958">
              <w:rPr>
                <w:rFonts w:eastAsia="Calibri"/>
                <w:b/>
                <w:bCs/>
                <w:sz w:val="22"/>
                <w:szCs w:val="22"/>
                <w:lang w:eastAsia="en-US"/>
              </w:rPr>
              <w:t>Наименование</w:t>
            </w:r>
          </w:p>
          <w:p w:rsidR="00AD1F84" w:rsidRPr="00FC4958" w:rsidRDefault="00AD1F84" w:rsidP="002F2EE5">
            <w:pPr>
              <w:spacing w:line="276" w:lineRule="auto"/>
              <w:jc w:val="center"/>
              <w:rPr>
                <w:rFonts w:eastAsia="Calibri"/>
                <w:b/>
                <w:bCs/>
                <w:sz w:val="22"/>
                <w:szCs w:val="22"/>
                <w:lang w:eastAsia="en-US"/>
              </w:rPr>
            </w:pPr>
            <w:r w:rsidRPr="00FC4958">
              <w:rPr>
                <w:rFonts w:eastAsia="Calibri"/>
                <w:b/>
                <w:bCs/>
                <w:sz w:val="22"/>
                <w:szCs w:val="22"/>
                <w:lang w:eastAsia="en-US"/>
              </w:rPr>
              <w:t>Показателя/период</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jc w:val="center"/>
              <w:rPr>
                <w:rFonts w:eastAsia="Calibri"/>
                <w:b/>
                <w:bCs/>
                <w:sz w:val="22"/>
                <w:szCs w:val="22"/>
                <w:lang w:eastAsia="en-US"/>
              </w:rPr>
            </w:pPr>
            <w:r w:rsidRPr="00FC4958">
              <w:rPr>
                <w:rFonts w:eastAsia="Calibri"/>
                <w:b/>
                <w:bCs/>
                <w:sz w:val="22"/>
                <w:szCs w:val="22"/>
                <w:lang w:eastAsia="en-US"/>
              </w:rPr>
              <w:t>По договорам на РСВ и БР</w:t>
            </w:r>
          </w:p>
        </w:tc>
      </w:tr>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ind w:hanging="4"/>
              <w:jc w:val="center"/>
              <w:rPr>
                <w:rFonts w:eastAsia="Calibri"/>
                <w:sz w:val="22"/>
                <w:szCs w:val="22"/>
                <w:lang w:eastAsia="en-US"/>
              </w:rPr>
            </w:pPr>
            <w:r w:rsidRPr="00FC4958">
              <w:rPr>
                <w:rFonts w:eastAsia="Calibri"/>
                <w:sz w:val="22"/>
                <w:szCs w:val="22"/>
                <w:lang w:eastAsia="en-US"/>
              </w:rPr>
              <w:t>2012 год</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FC4958" w:rsidRDefault="00AD1F84" w:rsidP="002F2EE5">
            <w:pPr>
              <w:jc w:val="center"/>
              <w:rPr>
                <w:sz w:val="22"/>
                <w:szCs w:val="22"/>
              </w:rPr>
            </w:pPr>
            <w:r w:rsidRPr="00FC4958">
              <w:rPr>
                <w:sz w:val="22"/>
                <w:szCs w:val="22"/>
              </w:rPr>
              <w:t>100,3</w:t>
            </w:r>
          </w:p>
        </w:tc>
      </w:tr>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ind w:hanging="4"/>
              <w:jc w:val="center"/>
              <w:rPr>
                <w:rFonts w:eastAsia="Calibri"/>
                <w:sz w:val="22"/>
                <w:szCs w:val="22"/>
                <w:lang w:eastAsia="en-US"/>
              </w:rPr>
            </w:pPr>
            <w:r w:rsidRPr="00FC4958">
              <w:rPr>
                <w:rFonts w:eastAsia="Calibri"/>
                <w:sz w:val="22"/>
                <w:szCs w:val="22"/>
                <w:lang w:eastAsia="en-US"/>
              </w:rPr>
              <w:t>2013 год</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FC4958" w:rsidRDefault="00AD1F84" w:rsidP="002F2EE5">
            <w:pPr>
              <w:jc w:val="center"/>
              <w:rPr>
                <w:sz w:val="22"/>
                <w:szCs w:val="22"/>
              </w:rPr>
            </w:pPr>
            <w:r w:rsidRPr="00FC4958">
              <w:rPr>
                <w:sz w:val="22"/>
                <w:szCs w:val="22"/>
              </w:rPr>
              <w:t>102,4</w:t>
            </w:r>
          </w:p>
        </w:tc>
      </w:tr>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ind w:right="-71" w:hanging="42"/>
              <w:jc w:val="center"/>
              <w:rPr>
                <w:rFonts w:eastAsia="Calibri"/>
                <w:sz w:val="22"/>
                <w:szCs w:val="22"/>
                <w:lang w:eastAsia="en-US"/>
              </w:rPr>
            </w:pPr>
            <w:r w:rsidRPr="00FC4958">
              <w:rPr>
                <w:rFonts w:eastAsia="Calibri"/>
                <w:sz w:val="22"/>
                <w:szCs w:val="22"/>
                <w:lang w:eastAsia="en-US"/>
              </w:rPr>
              <w:t>откл. 2013/2012, млн.кВт.ч,</w:t>
            </w:r>
          </w:p>
          <w:p w:rsidR="00AD1F84" w:rsidRPr="00FC4958" w:rsidRDefault="00AD1F84" w:rsidP="002F2EE5">
            <w:pPr>
              <w:ind w:hanging="4"/>
              <w:jc w:val="center"/>
              <w:rPr>
                <w:rFonts w:eastAsia="Calibri"/>
                <w:sz w:val="22"/>
                <w:szCs w:val="22"/>
                <w:lang w:eastAsia="en-US"/>
              </w:rPr>
            </w:pPr>
            <w:r w:rsidRPr="00FC4958">
              <w:rPr>
                <w:rFonts w:eastAsia="Calibri"/>
                <w:sz w:val="22"/>
                <w:szCs w:val="22"/>
                <w:lang w:eastAsia="en-US"/>
              </w:rPr>
              <w:t>(%)</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FC4958" w:rsidRDefault="00AD1F84" w:rsidP="002F2EE5">
            <w:pPr>
              <w:jc w:val="center"/>
              <w:rPr>
                <w:sz w:val="22"/>
                <w:szCs w:val="22"/>
              </w:rPr>
            </w:pPr>
            <w:r w:rsidRPr="00FC4958">
              <w:rPr>
                <w:sz w:val="22"/>
                <w:szCs w:val="22"/>
              </w:rPr>
              <w:t>2,1</w:t>
            </w:r>
          </w:p>
          <w:p w:rsidR="00AD1F84" w:rsidRPr="00FC4958" w:rsidRDefault="00AD1F84" w:rsidP="002F2EE5">
            <w:pPr>
              <w:jc w:val="center"/>
              <w:rPr>
                <w:sz w:val="22"/>
                <w:szCs w:val="22"/>
              </w:rPr>
            </w:pPr>
            <w:r w:rsidRPr="00FC4958">
              <w:rPr>
                <w:sz w:val="22"/>
                <w:szCs w:val="22"/>
              </w:rPr>
              <w:t>2,1%</w:t>
            </w:r>
          </w:p>
        </w:tc>
      </w:tr>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ind w:hanging="4"/>
              <w:jc w:val="center"/>
              <w:rPr>
                <w:rFonts w:eastAsia="Calibri"/>
                <w:sz w:val="22"/>
                <w:szCs w:val="22"/>
                <w:lang w:eastAsia="en-US"/>
              </w:rPr>
            </w:pPr>
            <w:r w:rsidRPr="00FC4958">
              <w:rPr>
                <w:rFonts w:eastAsia="Calibri"/>
                <w:sz w:val="22"/>
                <w:szCs w:val="22"/>
                <w:lang w:eastAsia="en-US"/>
              </w:rPr>
              <w:t>2014 год</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FC4958" w:rsidRDefault="00AD1F84" w:rsidP="002F2EE5">
            <w:pPr>
              <w:jc w:val="center"/>
              <w:rPr>
                <w:sz w:val="22"/>
                <w:szCs w:val="22"/>
              </w:rPr>
            </w:pPr>
            <w:r w:rsidRPr="00FC4958">
              <w:rPr>
                <w:sz w:val="22"/>
                <w:szCs w:val="22"/>
              </w:rPr>
              <w:t>86,2</w:t>
            </w:r>
          </w:p>
        </w:tc>
      </w:tr>
      <w:tr w:rsidR="00AD1F84" w:rsidRPr="00FC4958" w:rsidTr="002F2EE5">
        <w:tc>
          <w:tcPr>
            <w:tcW w:w="46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FC4958" w:rsidRDefault="00AD1F84" w:rsidP="002F2EE5">
            <w:pPr>
              <w:spacing w:line="276" w:lineRule="auto"/>
              <w:ind w:right="-71" w:hanging="42"/>
              <w:jc w:val="center"/>
              <w:rPr>
                <w:rFonts w:eastAsia="Calibri"/>
                <w:sz w:val="22"/>
                <w:szCs w:val="22"/>
                <w:lang w:eastAsia="en-US"/>
              </w:rPr>
            </w:pPr>
            <w:r w:rsidRPr="00FC4958">
              <w:rPr>
                <w:rFonts w:eastAsia="Calibri"/>
                <w:sz w:val="22"/>
                <w:szCs w:val="22"/>
                <w:lang w:eastAsia="en-US"/>
              </w:rPr>
              <w:t>откл. 2014/2013, млн.кВт.ч,</w:t>
            </w:r>
          </w:p>
          <w:p w:rsidR="00AD1F84" w:rsidRPr="00FC4958" w:rsidRDefault="00AD1F84" w:rsidP="002F2EE5">
            <w:pPr>
              <w:spacing w:line="276" w:lineRule="auto"/>
              <w:ind w:right="-71" w:hanging="42"/>
              <w:jc w:val="center"/>
              <w:rPr>
                <w:rFonts w:eastAsia="Calibri"/>
                <w:sz w:val="22"/>
                <w:szCs w:val="22"/>
                <w:lang w:eastAsia="en-US"/>
              </w:rPr>
            </w:pPr>
            <w:r w:rsidRPr="00FC4958">
              <w:rPr>
                <w:rFonts w:eastAsia="Calibri"/>
                <w:sz w:val="22"/>
                <w:szCs w:val="22"/>
                <w:lang w:eastAsia="en-US"/>
              </w:rPr>
              <w:t>(%)</w:t>
            </w:r>
          </w:p>
        </w:tc>
        <w:tc>
          <w:tcPr>
            <w:tcW w:w="478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FC4958" w:rsidRDefault="00AD1F84" w:rsidP="002F2EE5">
            <w:pPr>
              <w:jc w:val="center"/>
              <w:rPr>
                <w:sz w:val="22"/>
                <w:szCs w:val="22"/>
              </w:rPr>
            </w:pPr>
            <w:r w:rsidRPr="00FC4958">
              <w:rPr>
                <w:sz w:val="22"/>
                <w:szCs w:val="22"/>
              </w:rPr>
              <w:t>-16,2</w:t>
            </w:r>
          </w:p>
          <w:p w:rsidR="00AD1F84" w:rsidRPr="00FC4958" w:rsidRDefault="00AD1F84" w:rsidP="002F2EE5">
            <w:pPr>
              <w:jc w:val="center"/>
              <w:rPr>
                <w:sz w:val="22"/>
                <w:szCs w:val="22"/>
              </w:rPr>
            </w:pPr>
            <w:r w:rsidRPr="00FC4958">
              <w:rPr>
                <w:sz w:val="22"/>
                <w:szCs w:val="22"/>
              </w:rPr>
              <w:t>-15,8 %</w:t>
            </w:r>
          </w:p>
        </w:tc>
      </w:tr>
    </w:tbl>
    <w:p w:rsidR="00AD1F84" w:rsidRDefault="00AD1F84" w:rsidP="00AD1F84">
      <w:pPr>
        <w:ind w:firstLine="741"/>
        <w:jc w:val="both"/>
      </w:pPr>
    </w:p>
    <w:p w:rsidR="00FC4958" w:rsidRDefault="004A4746" w:rsidP="00792709">
      <w:pPr>
        <w:ind w:firstLine="741"/>
        <w:jc w:val="both"/>
        <w:rPr>
          <w:szCs w:val="28"/>
        </w:rPr>
      </w:pPr>
      <w:r>
        <w:rPr>
          <w:szCs w:val="28"/>
        </w:rPr>
        <w:t>О</w:t>
      </w:r>
      <w:r w:rsidR="00AD1F84" w:rsidRPr="001544B8">
        <w:rPr>
          <w:szCs w:val="28"/>
        </w:rPr>
        <w:t xml:space="preserve">бъемы продажи электроэнергии на ОРЭМ по свободным (нерегулируемым) ценам </w:t>
      </w:r>
      <w:r w:rsidRPr="001544B8">
        <w:rPr>
          <w:szCs w:val="28"/>
        </w:rPr>
        <w:t xml:space="preserve">в 2014 году снизились </w:t>
      </w:r>
      <w:r w:rsidR="00AD1F84" w:rsidRPr="001544B8">
        <w:rPr>
          <w:szCs w:val="28"/>
        </w:rPr>
        <w:t xml:space="preserve">на </w:t>
      </w:r>
      <w:r w:rsidR="00AD1F84">
        <w:rPr>
          <w:szCs w:val="28"/>
        </w:rPr>
        <w:t>15,8 % в сравнении с 2013 годом.</w:t>
      </w:r>
    </w:p>
    <w:p w:rsidR="00792709" w:rsidRPr="00792709" w:rsidRDefault="00792709" w:rsidP="00792709">
      <w:pPr>
        <w:ind w:firstLine="741"/>
        <w:jc w:val="both"/>
        <w:rPr>
          <w:szCs w:val="28"/>
        </w:rPr>
      </w:pPr>
    </w:p>
    <w:p w:rsidR="00AD1F84" w:rsidRPr="004A4746" w:rsidRDefault="00AD1F84" w:rsidP="00AD1F84">
      <w:pPr>
        <w:spacing w:line="276" w:lineRule="auto"/>
        <w:jc w:val="center"/>
        <w:rPr>
          <w:b/>
        </w:rPr>
      </w:pPr>
      <w:r w:rsidRPr="004A4746">
        <w:rPr>
          <w:b/>
        </w:rPr>
        <w:t>Динамика фактического потребления мощности в 2012-2014 гг.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8"/>
        <w:gridCol w:w="2113"/>
        <w:gridCol w:w="1995"/>
        <w:gridCol w:w="1548"/>
        <w:gridCol w:w="1689"/>
      </w:tblGrid>
      <w:tr w:rsidR="004A4746" w:rsidRPr="004D51E6" w:rsidTr="004A4746">
        <w:trPr>
          <w:trHeight w:val="434"/>
          <w:jc w:val="center"/>
        </w:trPr>
        <w:tc>
          <w:tcPr>
            <w:tcW w:w="1204" w:type="pct"/>
            <w:vAlign w:val="center"/>
            <w:hideMark/>
          </w:tcPr>
          <w:p w:rsidR="004A4746" w:rsidRPr="004D51E6" w:rsidRDefault="004A4746" w:rsidP="002F2EE5">
            <w:pPr>
              <w:spacing w:line="276" w:lineRule="auto"/>
              <w:jc w:val="center"/>
              <w:rPr>
                <w:b/>
                <w:bCs/>
              </w:rPr>
            </w:pPr>
            <w:r w:rsidRPr="004D51E6">
              <w:rPr>
                <w:b/>
                <w:bCs/>
              </w:rPr>
              <w:t>2012</w:t>
            </w:r>
            <w:r>
              <w:rPr>
                <w:b/>
                <w:bCs/>
              </w:rPr>
              <w:t xml:space="preserve"> </w:t>
            </w:r>
            <w:r w:rsidRPr="004D51E6">
              <w:rPr>
                <w:b/>
                <w:bCs/>
              </w:rPr>
              <w:t>г</w:t>
            </w:r>
            <w:r>
              <w:rPr>
                <w:b/>
                <w:bCs/>
              </w:rPr>
              <w:t>.</w:t>
            </w:r>
          </w:p>
        </w:tc>
        <w:tc>
          <w:tcPr>
            <w:tcW w:w="1092" w:type="pct"/>
            <w:vAlign w:val="center"/>
            <w:hideMark/>
          </w:tcPr>
          <w:p w:rsidR="004A4746" w:rsidRPr="004D51E6" w:rsidRDefault="004A4746" w:rsidP="002F2EE5">
            <w:pPr>
              <w:spacing w:line="276" w:lineRule="auto"/>
              <w:jc w:val="center"/>
              <w:rPr>
                <w:b/>
                <w:bCs/>
              </w:rPr>
            </w:pPr>
            <w:r w:rsidRPr="004D51E6">
              <w:rPr>
                <w:b/>
                <w:bCs/>
              </w:rPr>
              <w:t>2013</w:t>
            </w:r>
            <w:r>
              <w:rPr>
                <w:b/>
                <w:bCs/>
              </w:rPr>
              <w:t xml:space="preserve"> </w:t>
            </w:r>
            <w:r w:rsidRPr="004D51E6">
              <w:rPr>
                <w:b/>
                <w:bCs/>
              </w:rPr>
              <w:t>г</w:t>
            </w:r>
            <w:r>
              <w:rPr>
                <w:b/>
                <w:bCs/>
              </w:rPr>
              <w:t>.</w:t>
            </w:r>
          </w:p>
        </w:tc>
        <w:tc>
          <w:tcPr>
            <w:tcW w:w="1031" w:type="pct"/>
            <w:vAlign w:val="center"/>
          </w:tcPr>
          <w:p w:rsidR="004A4746" w:rsidRPr="004D51E6" w:rsidRDefault="004A4746" w:rsidP="002F2EE5">
            <w:pPr>
              <w:spacing w:line="276" w:lineRule="auto"/>
              <w:jc w:val="center"/>
              <w:rPr>
                <w:b/>
                <w:bCs/>
              </w:rPr>
            </w:pPr>
            <w:r w:rsidRPr="004D51E6">
              <w:rPr>
                <w:b/>
                <w:bCs/>
              </w:rPr>
              <w:t>2014</w:t>
            </w:r>
            <w:r>
              <w:rPr>
                <w:b/>
                <w:bCs/>
              </w:rPr>
              <w:t xml:space="preserve"> </w:t>
            </w:r>
            <w:r w:rsidRPr="004D51E6">
              <w:rPr>
                <w:b/>
                <w:bCs/>
              </w:rPr>
              <w:t>г</w:t>
            </w:r>
            <w:r>
              <w:rPr>
                <w:b/>
                <w:bCs/>
              </w:rPr>
              <w:t>.</w:t>
            </w:r>
          </w:p>
        </w:tc>
        <w:tc>
          <w:tcPr>
            <w:tcW w:w="800" w:type="pct"/>
            <w:vAlign w:val="center"/>
            <w:hideMark/>
          </w:tcPr>
          <w:p w:rsidR="004A4746" w:rsidRPr="004D51E6" w:rsidRDefault="004A4746" w:rsidP="002F2EE5">
            <w:pPr>
              <w:spacing w:line="276" w:lineRule="auto"/>
              <w:jc w:val="center"/>
              <w:rPr>
                <w:bCs/>
              </w:rPr>
            </w:pPr>
            <w:r w:rsidRPr="004D51E6">
              <w:rPr>
                <w:bCs/>
              </w:rPr>
              <w:t>откл.2013г</w:t>
            </w:r>
            <w:r>
              <w:rPr>
                <w:bCs/>
              </w:rPr>
              <w:t xml:space="preserve">. </w:t>
            </w:r>
            <w:r w:rsidRPr="004D51E6">
              <w:rPr>
                <w:bCs/>
              </w:rPr>
              <w:t>/2012г</w:t>
            </w:r>
            <w:r>
              <w:rPr>
                <w:bCs/>
              </w:rPr>
              <w:t>.</w:t>
            </w:r>
          </w:p>
        </w:tc>
        <w:tc>
          <w:tcPr>
            <w:tcW w:w="873" w:type="pct"/>
            <w:vAlign w:val="center"/>
            <w:hideMark/>
          </w:tcPr>
          <w:p w:rsidR="004A4746" w:rsidRPr="004D51E6" w:rsidRDefault="004A4746" w:rsidP="002F2EE5">
            <w:pPr>
              <w:spacing w:line="276" w:lineRule="auto"/>
              <w:jc w:val="center"/>
              <w:rPr>
                <w:bCs/>
              </w:rPr>
            </w:pPr>
            <w:r w:rsidRPr="004D51E6">
              <w:rPr>
                <w:bCs/>
              </w:rPr>
              <w:t>откл.2014г</w:t>
            </w:r>
            <w:r>
              <w:rPr>
                <w:bCs/>
              </w:rPr>
              <w:t xml:space="preserve">. </w:t>
            </w:r>
            <w:r w:rsidRPr="004D51E6">
              <w:rPr>
                <w:bCs/>
              </w:rPr>
              <w:t>/2013г</w:t>
            </w:r>
            <w:r>
              <w:rPr>
                <w:bCs/>
              </w:rPr>
              <w:t>.</w:t>
            </w:r>
          </w:p>
        </w:tc>
      </w:tr>
      <w:tr w:rsidR="004A4746" w:rsidRPr="004D51E6" w:rsidTr="004A4746">
        <w:trPr>
          <w:trHeight w:val="213"/>
          <w:jc w:val="center"/>
        </w:trPr>
        <w:tc>
          <w:tcPr>
            <w:tcW w:w="1204" w:type="pct"/>
            <w:vAlign w:val="center"/>
            <w:hideMark/>
          </w:tcPr>
          <w:p w:rsidR="004A4746" w:rsidRPr="004D51E6" w:rsidRDefault="004A4746" w:rsidP="002F2EE5">
            <w:pPr>
              <w:spacing w:line="276" w:lineRule="auto"/>
              <w:jc w:val="center"/>
            </w:pPr>
            <w:r w:rsidRPr="004D51E6">
              <w:t>МВт</w:t>
            </w:r>
          </w:p>
        </w:tc>
        <w:tc>
          <w:tcPr>
            <w:tcW w:w="1092" w:type="pct"/>
            <w:vAlign w:val="center"/>
            <w:hideMark/>
          </w:tcPr>
          <w:p w:rsidR="004A4746" w:rsidRPr="004D51E6" w:rsidRDefault="004A4746" w:rsidP="002F2EE5">
            <w:pPr>
              <w:spacing w:line="276" w:lineRule="auto"/>
              <w:jc w:val="center"/>
            </w:pPr>
            <w:r w:rsidRPr="004D51E6">
              <w:t>МВт</w:t>
            </w:r>
          </w:p>
        </w:tc>
        <w:tc>
          <w:tcPr>
            <w:tcW w:w="1031" w:type="pct"/>
            <w:vAlign w:val="center"/>
          </w:tcPr>
          <w:p w:rsidR="004A4746" w:rsidRPr="004D51E6" w:rsidRDefault="004A4746" w:rsidP="002F2EE5">
            <w:pPr>
              <w:spacing w:line="276" w:lineRule="auto"/>
              <w:jc w:val="center"/>
            </w:pPr>
            <w:r w:rsidRPr="004D51E6">
              <w:t>МВт</w:t>
            </w:r>
          </w:p>
        </w:tc>
        <w:tc>
          <w:tcPr>
            <w:tcW w:w="800" w:type="pct"/>
            <w:vAlign w:val="center"/>
            <w:hideMark/>
          </w:tcPr>
          <w:p w:rsidR="004A4746" w:rsidRPr="004D51E6" w:rsidRDefault="004A4746" w:rsidP="002F2EE5">
            <w:pPr>
              <w:spacing w:line="276" w:lineRule="auto"/>
              <w:jc w:val="center"/>
            </w:pPr>
            <w:r w:rsidRPr="004D51E6">
              <w:t>%</w:t>
            </w:r>
          </w:p>
        </w:tc>
        <w:tc>
          <w:tcPr>
            <w:tcW w:w="873" w:type="pct"/>
            <w:vAlign w:val="center"/>
            <w:hideMark/>
          </w:tcPr>
          <w:p w:rsidR="004A4746" w:rsidRPr="004D51E6" w:rsidRDefault="004A4746" w:rsidP="002F2EE5">
            <w:pPr>
              <w:spacing w:line="276" w:lineRule="auto"/>
              <w:jc w:val="center"/>
            </w:pPr>
            <w:r w:rsidRPr="004D51E6">
              <w:t>%</w:t>
            </w:r>
          </w:p>
        </w:tc>
      </w:tr>
      <w:tr w:rsidR="004A4746" w:rsidRPr="004D51E6" w:rsidTr="004A4746">
        <w:trPr>
          <w:trHeight w:val="434"/>
          <w:jc w:val="center"/>
        </w:trPr>
        <w:tc>
          <w:tcPr>
            <w:tcW w:w="1204" w:type="pct"/>
            <w:vAlign w:val="center"/>
          </w:tcPr>
          <w:p w:rsidR="004A4746" w:rsidRPr="004A4746" w:rsidRDefault="004A4746" w:rsidP="002F2EE5">
            <w:pPr>
              <w:jc w:val="center"/>
            </w:pPr>
            <w:r w:rsidRPr="004A4746">
              <w:t>207,9</w:t>
            </w:r>
          </w:p>
        </w:tc>
        <w:tc>
          <w:tcPr>
            <w:tcW w:w="1092" w:type="pct"/>
            <w:vAlign w:val="center"/>
          </w:tcPr>
          <w:p w:rsidR="004A4746" w:rsidRPr="004A4746" w:rsidRDefault="004A4746" w:rsidP="002F2EE5">
            <w:pPr>
              <w:jc w:val="center"/>
            </w:pPr>
            <w:r w:rsidRPr="004A4746">
              <w:t>210,4</w:t>
            </w:r>
          </w:p>
        </w:tc>
        <w:tc>
          <w:tcPr>
            <w:tcW w:w="1031" w:type="pct"/>
            <w:vAlign w:val="center"/>
          </w:tcPr>
          <w:p w:rsidR="004A4746" w:rsidRPr="004A4746" w:rsidRDefault="004A4746" w:rsidP="002F2EE5">
            <w:pPr>
              <w:jc w:val="center"/>
            </w:pPr>
            <w:r w:rsidRPr="004A4746">
              <w:t>215,0</w:t>
            </w:r>
          </w:p>
        </w:tc>
        <w:tc>
          <w:tcPr>
            <w:tcW w:w="800" w:type="pct"/>
            <w:noWrap/>
            <w:vAlign w:val="center"/>
          </w:tcPr>
          <w:p w:rsidR="004A4746" w:rsidRPr="004A4746" w:rsidRDefault="004A4746" w:rsidP="002F2EE5">
            <w:pPr>
              <w:jc w:val="center"/>
            </w:pPr>
            <w:r w:rsidRPr="004A4746">
              <w:t>1,1</w:t>
            </w:r>
          </w:p>
        </w:tc>
        <w:tc>
          <w:tcPr>
            <w:tcW w:w="873" w:type="pct"/>
            <w:noWrap/>
            <w:vAlign w:val="center"/>
          </w:tcPr>
          <w:p w:rsidR="004A4746" w:rsidRPr="004A4746" w:rsidRDefault="004A4746" w:rsidP="002F2EE5">
            <w:pPr>
              <w:jc w:val="center"/>
            </w:pPr>
            <w:r w:rsidRPr="004A4746">
              <w:t>2,2</w:t>
            </w:r>
          </w:p>
        </w:tc>
      </w:tr>
    </w:tbl>
    <w:p w:rsidR="00AD1F84" w:rsidRDefault="00AD1F84" w:rsidP="00AD1F84">
      <w:pPr>
        <w:spacing w:line="276" w:lineRule="auto"/>
        <w:jc w:val="both"/>
        <w:rPr>
          <w:sz w:val="20"/>
          <w:szCs w:val="20"/>
        </w:rPr>
      </w:pPr>
    </w:p>
    <w:p w:rsidR="00AD1F84" w:rsidRPr="00233A3F" w:rsidRDefault="00AD1F84" w:rsidP="004A4746">
      <w:pPr>
        <w:spacing w:line="276" w:lineRule="auto"/>
        <w:jc w:val="center"/>
        <w:rPr>
          <w:sz w:val="20"/>
          <w:szCs w:val="20"/>
        </w:rPr>
      </w:pPr>
      <w:r>
        <w:rPr>
          <w:noProof/>
          <w:sz w:val="20"/>
          <w:szCs w:val="20"/>
        </w:rPr>
        <w:drawing>
          <wp:inline distT="0" distB="0" distL="0" distR="0">
            <wp:extent cx="6038490" cy="2104845"/>
            <wp:effectExtent l="0" t="0" r="19685" b="10160"/>
            <wp:docPr id="18" name="Диаграмма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AD1F84" w:rsidRPr="003A1500" w:rsidRDefault="004A4746" w:rsidP="00AD1F84">
      <w:pPr>
        <w:spacing w:line="276" w:lineRule="auto"/>
        <w:ind w:firstLine="360"/>
        <w:jc w:val="center"/>
        <w:rPr>
          <w:rFonts w:eastAsia="Calibri"/>
          <w:lang w:eastAsia="en-US"/>
        </w:rPr>
      </w:pPr>
      <w:r>
        <w:rPr>
          <w:rFonts w:eastAsia="Calibri"/>
          <w:lang w:eastAsia="en-US"/>
        </w:rPr>
        <w:t>Диаграмма</w:t>
      </w:r>
      <w:r w:rsidR="00AD1F84" w:rsidRPr="003A1500">
        <w:rPr>
          <w:rFonts w:eastAsia="Calibri"/>
          <w:lang w:eastAsia="en-US"/>
        </w:rPr>
        <w:t xml:space="preserve">. Динамика фактического потребления </w:t>
      </w:r>
      <w:r w:rsidR="00AD1F84" w:rsidRPr="003A1500">
        <w:t>мощности</w:t>
      </w:r>
      <w:r w:rsidR="00AD1F84" w:rsidRPr="003A1500">
        <w:rPr>
          <w:rFonts w:eastAsia="Calibri"/>
          <w:lang w:eastAsia="en-US"/>
        </w:rPr>
        <w:t xml:space="preserve"> в 2012-2014 гг.</w:t>
      </w:r>
    </w:p>
    <w:p w:rsidR="00AD1F84" w:rsidRDefault="00AD1F84" w:rsidP="00AD1F84">
      <w:pPr>
        <w:ind w:firstLine="684"/>
        <w:jc w:val="both"/>
      </w:pPr>
    </w:p>
    <w:p w:rsidR="00AD1F84" w:rsidRPr="00941578" w:rsidRDefault="001D5351" w:rsidP="00AD1F84">
      <w:pPr>
        <w:ind w:firstLine="741"/>
        <w:jc w:val="both"/>
      </w:pPr>
      <w:r>
        <w:t>В</w:t>
      </w:r>
      <w:r w:rsidR="00AD1F84" w:rsidRPr="00941578">
        <w:t xml:space="preserve"> 2014 году наблюдается </w:t>
      </w:r>
      <w:r w:rsidR="00AD1F84">
        <w:t>увеличение</w:t>
      </w:r>
      <w:r w:rsidR="00AD1F84" w:rsidRPr="00941578">
        <w:t xml:space="preserve"> потребления мощности на </w:t>
      </w:r>
      <w:r w:rsidR="00AD1F84">
        <w:t>2</w:t>
      </w:r>
      <w:r w:rsidR="00AD1F84" w:rsidRPr="00941578">
        <w:t xml:space="preserve">,2%, в сравнении с 2013 годом. Причины </w:t>
      </w:r>
      <w:r w:rsidR="00AD1F84">
        <w:t>увеличения</w:t>
      </w:r>
      <w:r w:rsidR="00AD1F84" w:rsidRPr="00941578">
        <w:t xml:space="preserve"> потребления мощности в 2014 году аналогичны причинам </w:t>
      </w:r>
      <w:r w:rsidR="00AD1F84">
        <w:t>увеличения</w:t>
      </w:r>
      <w:r w:rsidR="00AD1F84" w:rsidRPr="00941578">
        <w:t xml:space="preserve"> потребления электрической энергии.</w:t>
      </w:r>
    </w:p>
    <w:p w:rsidR="00AD1F84" w:rsidRDefault="00AD1F84" w:rsidP="00792709">
      <w:pPr>
        <w:spacing w:line="276" w:lineRule="auto"/>
        <w:jc w:val="center"/>
        <w:rPr>
          <w:b/>
        </w:rPr>
      </w:pPr>
      <w:r w:rsidRPr="004A4746">
        <w:rPr>
          <w:b/>
        </w:rPr>
        <w:lastRenderedPageBreak/>
        <w:t>Структура покупки мощности на оптовом рынке 2012-2014 гг., МВт</w:t>
      </w:r>
    </w:p>
    <w:p w:rsidR="004A4746" w:rsidRPr="004A4746" w:rsidRDefault="004A4746" w:rsidP="00AD1F84">
      <w:pPr>
        <w:spacing w:line="276" w:lineRule="auto"/>
        <w:jc w:val="center"/>
        <w:rPr>
          <w:b/>
          <w:sz w:val="18"/>
        </w:rPr>
      </w:pP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0"/>
        <w:gridCol w:w="2197"/>
        <w:gridCol w:w="2816"/>
        <w:gridCol w:w="1472"/>
      </w:tblGrid>
      <w:tr w:rsidR="007F6DBF" w:rsidRPr="00967BDC" w:rsidTr="004A4746">
        <w:trPr>
          <w:trHeight w:val="380"/>
        </w:trPr>
        <w:tc>
          <w:tcPr>
            <w:tcW w:w="1585" w:type="pct"/>
            <w:vMerge w:val="restart"/>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Наименование показателя/период</w:t>
            </w:r>
          </w:p>
        </w:tc>
        <w:tc>
          <w:tcPr>
            <w:tcW w:w="2640" w:type="pct"/>
            <w:gridSpan w:val="2"/>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Покупка на оптовом рынке</w:t>
            </w:r>
          </w:p>
        </w:tc>
        <w:tc>
          <w:tcPr>
            <w:tcW w:w="775" w:type="pct"/>
            <w:vMerge w:val="restart"/>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Покупка,</w:t>
            </w:r>
          </w:p>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итого</w:t>
            </w:r>
          </w:p>
        </w:tc>
      </w:tr>
      <w:tr w:rsidR="004A4746" w:rsidRPr="00967BDC" w:rsidTr="004A4746">
        <w:trPr>
          <w:trHeight w:val="505"/>
        </w:trPr>
        <w:tc>
          <w:tcPr>
            <w:tcW w:w="1585" w:type="pct"/>
            <w:vMerge/>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rPr>
                <w:rFonts w:eastAsia="Calibri"/>
                <w:b/>
                <w:sz w:val="22"/>
                <w:szCs w:val="22"/>
                <w:lang w:eastAsia="en-US"/>
              </w:rPr>
            </w:pPr>
          </w:p>
        </w:tc>
        <w:tc>
          <w:tcPr>
            <w:tcW w:w="1157" w:type="pct"/>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по регулируемым договорам</w:t>
            </w:r>
          </w:p>
        </w:tc>
        <w:tc>
          <w:tcPr>
            <w:tcW w:w="1483" w:type="pct"/>
            <w:tcBorders>
              <w:top w:val="single" w:sz="4" w:space="0" w:color="auto"/>
              <w:left w:val="single" w:sz="4" w:space="0" w:color="auto"/>
              <w:bottom w:val="single" w:sz="4" w:space="0" w:color="auto"/>
              <w:right w:val="single" w:sz="4" w:space="0" w:color="auto"/>
            </w:tcBorders>
            <w:hideMark/>
          </w:tcPr>
          <w:p w:rsidR="00AD1F84" w:rsidRPr="00967BDC" w:rsidRDefault="00396190" w:rsidP="00396190">
            <w:pPr>
              <w:spacing w:line="276" w:lineRule="auto"/>
              <w:jc w:val="center"/>
              <w:rPr>
                <w:rFonts w:eastAsia="Calibri"/>
                <w:b/>
                <w:sz w:val="22"/>
                <w:szCs w:val="22"/>
                <w:lang w:eastAsia="en-US"/>
              </w:rPr>
            </w:pPr>
            <w:r>
              <w:rPr>
                <w:rFonts w:eastAsia="Calibri"/>
                <w:b/>
                <w:sz w:val="22"/>
                <w:szCs w:val="22"/>
                <w:lang w:eastAsia="en-US"/>
              </w:rPr>
              <w:t>по договорам КОМ</w:t>
            </w:r>
            <w:r w:rsidR="00AD1F84" w:rsidRPr="00967BDC">
              <w:rPr>
                <w:rFonts w:eastAsia="Calibri"/>
                <w:b/>
                <w:sz w:val="22"/>
                <w:szCs w:val="22"/>
                <w:lang w:eastAsia="en-US"/>
              </w:rPr>
              <w:t>, ДПМ АЭС/ГЭС, ДПМ ВИЭ, ВР</w:t>
            </w:r>
          </w:p>
        </w:tc>
        <w:tc>
          <w:tcPr>
            <w:tcW w:w="775" w:type="pct"/>
            <w:vMerge/>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rPr>
                <w:rFonts w:eastAsia="Calibri"/>
                <w:b/>
                <w:sz w:val="22"/>
                <w:szCs w:val="22"/>
                <w:lang w:eastAsia="en-US"/>
              </w:rPr>
            </w:pPr>
          </w:p>
        </w:tc>
      </w:tr>
      <w:tr w:rsidR="004A4746" w:rsidRPr="00967BDC" w:rsidTr="004A4746">
        <w:trPr>
          <w:trHeight w:val="352"/>
        </w:trPr>
        <w:tc>
          <w:tcPr>
            <w:tcW w:w="1585" w:type="pct"/>
            <w:tcBorders>
              <w:top w:val="single" w:sz="4" w:space="0" w:color="auto"/>
              <w:left w:val="single" w:sz="4" w:space="0" w:color="auto"/>
              <w:bottom w:val="single" w:sz="4" w:space="0" w:color="auto"/>
              <w:right w:val="single" w:sz="4" w:space="0" w:color="auto"/>
            </w:tcBorders>
            <w:vAlign w:val="center"/>
            <w:hideMark/>
          </w:tcPr>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2012 год</w:t>
            </w:r>
          </w:p>
        </w:tc>
        <w:tc>
          <w:tcPr>
            <w:tcW w:w="1157"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lang w:eastAsia="en-US"/>
              </w:rPr>
            </w:pPr>
            <w:r w:rsidRPr="00396190">
              <w:rPr>
                <w:szCs w:val="22"/>
                <w:lang w:eastAsia="en-US"/>
              </w:rPr>
              <w:t>330,5</w:t>
            </w:r>
          </w:p>
        </w:tc>
        <w:tc>
          <w:tcPr>
            <w:tcW w:w="1483"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ind w:firstLine="49"/>
              <w:jc w:val="center"/>
              <w:rPr>
                <w:szCs w:val="22"/>
                <w:lang w:eastAsia="en-US"/>
              </w:rPr>
            </w:pPr>
            <w:r w:rsidRPr="00396190">
              <w:rPr>
                <w:szCs w:val="22"/>
                <w:lang w:eastAsia="en-US"/>
              </w:rPr>
              <w:t>0,1</w:t>
            </w:r>
          </w:p>
        </w:tc>
        <w:tc>
          <w:tcPr>
            <w:tcW w:w="775"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lang w:eastAsia="en-US"/>
              </w:rPr>
            </w:pPr>
            <w:r w:rsidRPr="00396190">
              <w:rPr>
                <w:szCs w:val="22"/>
                <w:lang w:eastAsia="en-US"/>
              </w:rPr>
              <w:t>330,6</w:t>
            </w:r>
          </w:p>
        </w:tc>
      </w:tr>
      <w:tr w:rsidR="004A4746" w:rsidRPr="00967BDC" w:rsidTr="004A4746">
        <w:trPr>
          <w:trHeight w:val="352"/>
        </w:trPr>
        <w:tc>
          <w:tcPr>
            <w:tcW w:w="1585" w:type="pct"/>
            <w:tcBorders>
              <w:top w:val="single" w:sz="4" w:space="0" w:color="auto"/>
              <w:left w:val="single" w:sz="4" w:space="0" w:color="auto"/>
              <w:bottom w:val="single" w:sz="4" w:space="0" w:color="auto"/>
              <w:right w:val="single" w:sz="4" w:space="0" w:color="auto"/>
            </w:tcBorders>
            <w:vAlign w:val="center"/>
            <w:hideMark/>
          </w:tcPr>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2013 год</w:t>
            </w:r>
          </w:p>
        </w:tc>
        <w:tc>
          <w:tcPr>
            <w:tcW w:w="1157"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333,7</w:t>
            </w:r>
          </w:p>
        </w:tc>
        <w:tc>
          <w:tcPr>
            <w:tcW w:w="1483"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ind w:firstLine="49"/>
              <w:jc w:val="center"/>
              <w:rPr>
                <w:szCs w:val="22"/>
              </w:rPr>
            </w:pPr>
            <w:r w:rsidRPr="00396190">
              <w:rPr>
                <w:szCs w:val="22"/>
              </w:rPr>
              <w:t>0,5</w:t>
            </w:r>
          </w:p>
        </w:tc>
        <w:tc>
          <w:tcPr>
            <w:tcW w:w="775"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334,2</w:t>
            </w:r>
          </w:p>
        </w:tc>
      </w:tr>
      <w:tr w:rsidR="004A4746" w:rsidRPr="00967BDC" w:rsidTr="004A4746">
        <w:trPr>
          <w:trHeight w:val="352"/>
        </w:trPr>
        <w:tc>
          <w:tcPr>
            <w:tcW w:w="1585" w:type="pct"/>
            <w:tcBorders>
              <w:top w:val="single" w:sz="4" w:space="0" w:color="auto"/>
              <w:left w:val="single" w:sz="4" w:space="0" w:color="auto"/>
              <w:bottom w:val="single" w:sz="4" w:space="0" w:color="auto"/>
              <w:right w:val="single" w:sz="4" w:space="0" w:color="auto"/>
            </w:tcBorders>
            <w:vAlign w:val="center"/>
            <w:hideMark/>
          </w:tcPr>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откл. 2013/2012, МВт,</w:t>
            </w:r>
          </w:p>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w:t>
            </w:r>
          </w:p>
        </w:tc>
        <w:tc>
          <w:tcPr>
            <w:tcW w:w="1157"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lang w:eastAsia="en-US"/>
              </w:rPr>
            </w:pPr>
            <w:r w:rsidRPr="00396190">
              <w:rPr>
                <w:szCs w:val="22"/>
                <w:lang w:eastAsia="en-US"/>
              </w:rPr>
              <w:t>3,2</w:t>
            </w:r>
          </w:p>
          <w:p w:rsidR="00AD1F84" w:rsidRPr="00396190" w:rsidRDefault="00AD1F84" w:rsidP="002F2EE5">
            <w:pPr>
              <w:jc w:val="center"/>
              <w:rPr>
                <w:szCs w:val="22"/>
                <w:lang w:eastAsia="en-US"/>
              </w:rPr>
            </w:pPr>
            <w:r w:rsidRPr="00396190">
              <w:rPr>
                <w:szCs w:val="22"/>
                <w:lang w:eastAsia="en-US"/>
              </w:rPr>
              <w:t xml:space="preserve">1,0 </w:t>
            </w:r>
          </w:p>
        </w:tc>
        <w:tc>
          <w:tcPr>
            <w:tcW w:w="1483"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ind w:firstLine="49"/>
              <w:jc w:val="center"/>
              <w:rPr>
                <w:szCs w:val="22"/>
                <w:lang w:eastAsia="en-US"/>
              </w:rPr>
            </w:pPr>
            <w:r w:rsidRPr="00396190">
              <w:rPr>
                <w:szCs w:val="22"/>
                <w:lang w:eastAsia="en-US"/>
              </w:rPr>
              <w:t>0,4</w:t>
            </w:r>
          </w:p>
          <w:p w:rsidR="00AD1F84" w:rsidRPr="00396190" w:rsidRDefault="00AD1F84" w:rsidP="002F2EE5">
            <w:pPr>
              <w:ind w:firstLine="49"/>
              <w:jc w:val="center"/>
              <w:rPr>
                <w:szCs w:val="22"/>
                <w:lang w:eastAsia="en-US"/>
              </w:rPr>
            </w:pPr>
            <w:r w:rsidRPr="00396190">
              <w:rPr>
                <w:szCs w:val="22"/>
                <w:lang w:eastAsia="en-US"/>
              </w:rPr>
              <w:t>400,0</w:t>
            </w:r>
          </w:p>
        </w:tc>
        <w:tc>
          <w:tcPr>
            <w:tcW w:w="775"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lang w:eastAsia="en-US"/>
              </w:rPr>
            </w:pPr>
            <w:r w:rsidRPr="00396190">
              <w:rPr>
                <w:szCs w:val="22"/>
                <w:lang w:eastAsia="en-US"/>
              </w:rPr>
              <w:t>3,6</w:t>
            </w:r>
          </w:p>
          <w:p w:rsidR="00AD1F84" w:rsidRPr="00396190" w:rsidRDefault="00AD1F84" w:rsidP="002F2EE5">
            <w:pPr>
              <w:jc w:val="center"/>
              <w:rPr>
                <w:szCs w:val="22"/>
                <w:lang w:eastAsia="en-US"/>
              </w:rPr>
            </w:pPr>
            <w:r w:rsidRPr="00396190">
              <w:rPr>
                <w:szCs w:val="22"/>
                <w:lang w:eastAsia="en-US"/>
              </w:rPr>
              <w:t>1,1</w:t>
            </w:r>
          </w:p>
        </w:tc>
      </w:tr>
      <w:tr w:rsidR="004A4746" w:rsidRPr="00967BDC" w:rsidTr="004A4746">
        <w:trPr>
          <w:trHeight w:val="352"/>
        </w:trPr>
        <w:tc>
          <w:tcPr>
            <w:tcW w:w="1585" w:type="pct"/>
            <w:tcBorders>
              <w:top w:val="single" w:sz="4" w:space="0" w:color="auto"/>
              <w:left w:val="single" w:sz="4" w:space="0" w:color="auto"/>
              <w:bottom w:val="single" w:sz="4" w:space="0" w:color="auto"/>
              <w:right w:val="single" w:sz="4" w:space="0" w:color="auto"/>
            </w:tcBorders>
            <w:vAlign w:val="center"/>
            <w:hideMark/>
          </w:tcPr>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2014 год</w:t>
            </w:r>
          </w:p>
        </w:tc>
        <w:tc>
          <w:tcPr>
            <w:tcW w:w="1157"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327,2</w:t>
            </w:r>
          </w:p>
        </w:tc>
        <w:tc>
          <w:tcPr>
            <w:tcW w:w="1483"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ind w:firstLine="49"/>
              <w:jc w:val="center"/>
              <w:rPr>
                <w:szCs w:val="22"/>
              </w:rPr>
            </w:pPr>
            <w:r w:rsidRPr="00396190">
              <w:rPr>
                <w:szCs w:val="22"/>
              </w:rPr>
              <w:t>2,2</w:t>
            </w:r>
          </w:p>
        </w:tc>
        <w:tc>
          <w:tcPr>
            <w:tcW w:w="775"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329,4</w:t>
            </w:r>
          </w:p>
        </w:tc>
      </w:tr>
      <w:tr w:rsidR="004A4746" w:rsidRPr="00967BDC" w:rsidTr="004A4746">
        <w:trPr>
          <w:trHeight w:val="352"/>
        </w:trPr>
        <w:tc>
          <w:tcPr>
            <w:tcW w:w="1585" w:type="pct"/>
            <w:tcBorders>
              <w:top w:val="single" w:sz="4" w:space="0" w:color="auto"/>
              <w:left w:val="single" w:sz="4" w:space="0" w:color="auto"/>
              <w:bottom w:val="single" w:sz="4" w:space="0" w:color="auto"/>
              <w:right w:val="single" w:sz="4" w:space="0" w:color="auto"/>
            </w:tcBorders>
            <w:vAlign w:val="center"/>
            <w:hideMark/>
          </w:tcPr>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откл. 2014/2013, МВт,</w:t>
            </w:r>
          </w:p>
          <w:p w:rsidR="00AD1F84" w:rsidRPr="00396190" w:rsidRDefault="00AD1F84" w:rsidP="002F2EE5">
            <w:pPr>
              <w:spacing w:line="276" w:lineRule="auto"/>
              <w:jc w:val="center"/>
              <w:rPr>
                <w:rFonts w:eastAsia="Calibri"/>
                <w:szCs w:val="22"/>
                <w:lang w:eastAsia="en-US"/>
              </w:rPr>
            </w:pPr>
            <w:r w:rsidRPr="00396190">
              <w:rPr>
                <w:rFonts w:eastAsia="Calibri"/>
                <w:szCs w:val="22"/>
                <w:lang w:eastAsia="en-US"/>
              </w:rPr>
              <w:t>(%)</w:t>
            </w:r>
          </w:p>
        </w:tc>
        <w:tc>
          <w:tcPr>
            <w:tcW w:w="1157"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-6,5</w:t>
            </w:r>
          </w:p>
          <w:p w:rsidR="00AD1F84" w:rsidRPr="00396190" w:rsidRDefault="00AD1F84" w:rsidP="002F2EE5">
            <w:pPr>
              <w:jc w:val="center"/>
              <w:rPr>
                <w:szCs w:val="22"/>
              </w:rPr>
            </w:pPr>
            <w:r w:rsidRPr="00396190">
              <w:rPr>
                <w:szCs w:val="22"/>
              </w:rPr>
              <w:t>-1,9 %</w:t>
            </w:r>
          </w:p>
        </w:tc>
        <w:tc>
          <w:tcPr>
            <w:tcW w:w="1483"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ind w:firstLine="49"/>
              <w:jc w:val="center"/>
              <w:rPr>
                <w:szCs w:val="22"/>
              </w:rPr>
            </w:pPr>
            <w:r w:rsidRPr="00396190">
              <w:rPr>
                <w:szCs w:val="22"/>
              </w:rPr>
              <w:t>1,7</w:t>
            </w:r>
          </w:p>
          <w:p w:rsidR="00AD1F84" w:rsidRPr="00396190" w:rsidRDefault="00AD1F84" w:rsidP="002F2EE5">
            <w:pPr>
              <w:ind w:firstLine="49"/>
              <w:jc w:val="center"/>
              <w:rPr>
                <w:szCs w:val="22"/>
              </w:rPr>
            </w:pPr>
            <w:r w:rsidRPr="00396190">
              <w:rPr>
                <w:szCs w:val="22"/>
              </w:rPr>
              <w:t>340,0 %</w:t>
            </w:r>
          </w:p>
        </w:tc>
        <w:tc>
          <w:tcPr>
            <w:tcW w:w="775" w:type="pct"/>
            <w:tcBorders>
              <w:top w:val="single" w:sz="4" w:space="0" w:color="auto"/>
              <w:left w:val="single" w:sz="4" w:space="0" w:color="auto"/>
              <w:bottom w:val="single" w:sz="4" w:space="0" w:color="auto"/>
              <w:right w:val="single" w:sz="4" w:space="0" w:color="auto"/>
            </w:tcBorders>
            <w:vAlign w:val="center"/>
          </w:tcPr>
          <w:p w:rsidR="00AD1F84" w:rsidRPr="00396190" w:rsidRDefault="00AD1F84" w:rsidP="002F2EE5">
            <w:pPr>
              <w:jc w:val="center"/>
              <w:rPr>
                <w:szCs w:val="22"/>
              </w:rPr>
            </w:pPr>
            <w:r w:rsidRPr="00396190">
              <w:rPr>
                <w:szCs w:val="22"/>
              </w:rPr>
              <w:t>-4,8</w:t>
            </w:r>
          </w:p>
          <w:p w:rsidR="00AD1F84" w:rsidRPr="00396190" w:rsidRDefault="00AD1F84" w:rsidP="002F2EE5">
            <w:pPr>
              <w:jc w:val="center"/>
              <w:rPr>
                <w:szCs w:val="22"/>
              </w:rPr>
            </w:pPr>
            <w:r w:rsidRPr="00396190">
              <w:rPr>
                <w:szCs w:val="22"/>
              </w:rPr>
              <w:t>-1,4 %</w:t>
            </w:r>
          </w:p>
        </w:tc>
      </w:tr>
    </w:tbl>
    <w:p w:rsidR="00AD1F84" w:rsidRDefault="00AD1F84" w:rsidP="00AD1F84">
      <w:pPr>
        <w:jc w:val="both"/>
      </w:pPr>
    </w:p>
    <w:p w:rsidR="001D5351" w:rsidRDefault="004A4746" w:rsidP="006826A2">
      <w:pPr>
        <w:ind w:firstLine="708"/>
        <w:jc w:val="both"/>
      </w:pPr>
      <w:r>
        <w:t xml:space="preserve">В 2014 году </w:t>
      </w:r>
      <w:r w:rsidR="00AD1F84">
        <w:t xml:space="preserve">наблюдается незначительное снижение покупки </w:t>
      </w:r>
      <w:r w:rsidR="00AD1F84" w:rsidRPr="00ED5335">
        <w:t xml:space="preserve">мощности </w:t>
      </w:r>
      <w:r w:rsidR="00AD1F84">
        <w:t>на 4,8 МВт или 1,4%, что связано со снижением покупки мощности по регулируемым договорам на 1,9%.</w:t>
      </w:r>
    </w:p>
    <w:p w:rsidR="006826A2" w:rsidRPr="006826A2" w:rsidRDefault="006826A2" w:rsidP="006826A2">
      <w:pPr>
        <w:ind w:firstLine="708"/>
        <w:jc w:val="both"/>
      </w:pPr>
    </w:p>
    <w:p w:rsidR="00AD1F84" w:rsidRPr="00792709" w:rsidRDefault="006826A2" w:rsidP="006826A2">
      <w:pPr>
        <w:spacing w:after="200" w:line="276" w:lineRule="auto"/>
        <w:jc w:val="center"/>
        <w:rPr>
          <w:rFonts w:eastAsia="Calibri"/>
          <w:b/>
          <w:sz w:val="28"/>
          <w:lang w:eastAsia="en-US"/>
        </w:rPr>
      </w:pPr>
      <w:r w:rsidRPr="00792709">
        <w:rPr>
          <w:rFonts w:eastAsia="Calibri"/>
          <w:b/>
          <w:sz w:val="28"/>
          <w:lang w:eastAsia="en-US"/>
        </w:rPr>
        <w:t xml:space="preserve">4.1.2. </w:t>
      </w:r>
      <w:r w:rsidR="00AD1F84" w:rsidRPr="00792709">
        <w:rPr>
          <w:rFonts w:eastAsia="Calibri"/>
          <w:b/>
          <w:sz w:val="28"/>
          <w:lang w:eastAsia="en-US"/>
        </w:rPr>
        <w:t>Ценовые показат</w:t>
      </w:r>
      <w:r w:rsidR="004A4746" w:rsidRPr="00792709">
        <w:rPr>
          <w:rFonts w:eastAsia="Calibri"/>
          <w:b/>
          <w:sz w:val="28"/>
          <w:lang w:eastAsia="en-US"/>
        </w:rPr>
        <w:t>ели оптового и розничного рынков</w:t>
      </w:r>
    </w:p>
    <w:p w:rsidR="00AD1F84" w:rsidRPr="004A4746" w:rsidRDefault="00AD1F84" w:rsidP="00AD1F84">
      <w:pPr>
        <w:spacing w:after="200" w:line="276" w:lineRule="auto"/>
        <w:jc w:val="center"/>
        <w:rPr>
          <w:rFonts w:eastAsia="Calibri"/>
          <w:b/>
          <w:lang w:eastAsia="en-US"/>
        </w:rPr>
      </w:pPr>
      <w:r w:rsidRPr="004A4746">
        <w:rPr>
          <w:rFonts w:eastAsia="Calibri"/>
          <w:b/>
          <w:lang w:eastAsia="en-US"/>
        </w:rPr>
        <w:t>Цена на покупку электроэнергии на оптовом и розничном рынках, руб</w:t>
      </w:r>
      <w:r w:rsidR="001D5351">
        <w:rPr>
          <w:rFonts w:eastAsia="Calibri"/>
          <w:b/>
          <w:lang w:eastAsia="en-US"/>
        </w:rPr>
        <w:t>.</w:t>
      </w:r>
      <w:r w:rsidRPr="004A4746">
        <w:rPr>
          <w:rFonts w:eastAsia="Calibri"/>
          <w:b/>
          <w:lang w:eastAsia="en-US"/>
        </w:rPr>
        <w:t>/МВт.ч</w:t>
      </w:r>
    </w:p>
    <w:tbl>
      <w:tblPr>
        <w:tblW w:w="94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71"/>
        <w:gridCol w:w="1577"/>
        <w:gridCol w:w="1255"/>
        <w:gridCol w:w="1197"/>
        <w:gridCol w:w="1938"/>
        <w:gridCol w:w="1427"/>
      </w:tblGrid>
      <w:tr w:rsidR="00AD1F84" w:rsidRPr="00967BDC" w:rsidTr="002F2EE5">
        <w:trPr>
          <w:trHeight w:val="839"/>
        </w:trPr>
        <w:tc>
          <w:tcPr>
            <w:tcW w:w="2071"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Наименование показателя/ период</w:t>
            </w:r>
          </w:p>
        </w:tc>
        <w:tc>
          <w:tcPr>
            <w:tcW w:w="157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after="200" w:line="276" w:lineRule="auto"/>
              <w:jc w:val="center"/>
              <w:rPr>
                <w:rFonts w:eastAsia="Calibri"/>
                <w:b/>
                <w:bCs/>
                <w:sz w:val="22"/>
                <w:szCs w:val="22"/>
                <w:lang w:eastAsia="en-US"/>
              </w:rPr>
            </w:pPr>
            <w:r w:rsidRPr="00967BDC">
              <w:rPr>
                <w:rFonts w:eastAsia="Calibri"/>
                <w:b/>
                <w:bCs/>
                <w:sz w:val="22"/>
                <w:szCs w:val="22"/>
                <w:lang w:eastAsia="en-US"/>
              </w:rPr>
              <w:t>по регулируемым договорам</w:t>
            </w:r>
          </w:p>
        </w:tc>
        <w:tc>
          <w:tcPr>
            <w:tcW w:w="1255"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after="200" w:line="276" w:lineRule="auto"/>
              <w:jc w:val="center"/>
              <w:rPr>
                <w:rFonts w:eastAsia="Calibri"/>
                <w:b/>
                <w:bCs/>
                <w:sz w:val="22"/>
                <w:szCs w:val="22"/>
                <w:lang w:eastAsia="en-US"/>
              </w:rPr>
            </w:pPr>
            <w:r w:rsidRPr="00967BDC">
              <w:rPr>
                <w:rFonts w:eastAsia="Calibri"/>
                <w:b/>
                <w:bCs/>
                <w:sz w:val="22"/>
                <w:szCs w:val="22"/>
                <w:lang w:eastAsia="en-US"/>
              </w:rPr>
              <w:t>по договорам на РСВ</w:t>
            </w:r>
          </w:p>
        </w:tc>
        <w:tc>
          <w:tcPr>
            <w:tcW w:w="11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after="200" w:line="276" w:lineRule="auto"/>
              <w:jc w:val="center"/>
              <w:rPr>
                <w:rFonts w:eastAsia="Calibri"/>
                <w:b/>
                <w:bCs/>
                <w:sz w:val="22"/>
                <w:szCs w:val="22"/>
                <w:lang w:eastAsia="en-US"/>
              </w:rPr>
            </w:pPr>
            <w:r w:rsidRPr="00967BDC">
              <w:rPr>
                <w:rFonts w:eastAsia="Calibri"/>
                <w:b/>
                <w:bCs/>
                <w:sz w:val="22"/>
                <w:szCs w:val="22"/>
                <w:lang w:eastAsia="en-US"/>
              </w:rPr>
              <w:t>по договорам на БР</w:t>
            </w:r>
          </w:p>
        </w:tc>
        <w:tc>
          <w:tcPr>
            <w:tcW w:w="1938"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Покупка на РРЭ у розничных производителей</w:t>
            </w:r>
          </w:p>
        </w:tc>
        <w:tc>
          <w:tcPr>
            <w:tcW w:w="142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Покупка</w:t>
            </w:r>
          </w:p>
          <w:p w:rsidR="00AD1F84" w:rsidRPr="00967BDC" w:rsidRDefault="00AD1F84" w:rsidP="002F2EE5">
            <w:pPr>
              <w:spacing w:line="276" w:lineRule="auto"/>
              <w:jc w:val="center"/>
              <w:rPr>
                <w:rFonts w:eastAsia="Calibri"/>
                <w:b/>
                <w:sz w:val="22"/>
                <w:szCs w:val="22"/>
                <w:lang w:eastAsia="en-US"/>
              </w:rPr>
            </w:pPr>
            <w:r w:rsidRPr="00967BDC">
              <w:rPr>
                <w:rFonts w:eastAsia="Calibri"/>
                <w:b/>
                <w:sz w:val="22"/>
                <w:szCs w:val="22"/>
                <w:lang w:eastAsia="en-US"/>
              </w:rPr>
              <w:t>Итого</w:t>
            </w:r>
          </w:p>
        </w:tc>
      </w:tr>
      <w:tr w:rsidR="00AD1F84" w:rsidRPr="00967BDC" w:rsidTr="002F2EE5">
        <w:tc>
          <w:tcPr>
            <w:tcW w:w="2071"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2012 год</w:t>
            </w:r>
          </w:p>
        </w:tc>
        <w:tc>
          <w:tcPr>
            <w:tcW w:w="157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hanging="82"/>
              <w:jc w:val="center"/>
              <w:rPr>
                <w:sz w:val="22"/>
                <w:szCs w:val="22"/>
                <w:lang w:eastAsia="en-US"/>
              </w:rPr>
            </w:pPr>
            <w:r w:rsidRPr="00967BDC">
              <w:rPr>
                <w:sz w:val="22"/>
                <w:szCs w:val="22"/>
                <w:lang w:eastAsia="en-US"/>
              </w:rPr>
              <w:t>346,0</w:t>
            </w:r>
          </w:p>
        </w:tc>
        <w:tc>
          <w:tcPr>
            <w:tcW w:w="125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821,2</w:t>
            </w:r>
          </w:p>
        </w:tc>
        <w:tc>
          <w:tcPr>
            <w:tcW w:w="119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1431,8</w:t>
            </w:r>
          </w:p>
        </w:tc>
        <w:tc>
          <w:tcPr>
            <w:tcW w:w="193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756,7</w:t>
            </w:r>
          </w:p>
        </w:tc>
        <w:tc>
          <w:tcPr>
            <w:tcW w:w="142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385,6</w:t>
            </w:r>
          </w:p>
        </w:tc>
      </w:tr>
      <w:tr w:rsidR="00AD1F84" w:rsidRPr="00967BDC" w:rsidTr="002F2EE5">
        <w:tc>
          <w:tcPr>
            <w:tcW w:w="2071"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2013 год</w:t>
            </w:r>
          </w:p>
        </w:tc>
        <w:tc>
          <w:tcPr>
            <w:tcW w:w="157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hanging="82"/>
              <w:jc w:val="center"/>
              <w:rPr>
                <w:sz w:val="22"/>
                <w:szCs w:val="22"/>
                <w:lang w:eastAsia="en-US"/>
              </w:rPr>
            </w:pPr>
            <w:r w:rsidRPr="00967BDC">
              <w:rPr>
                <w:sz w:val="22"/>
                <w:szCs w:val="22"/>
                <w:lang w:eastAsia="en-US"/>
              </w:rPr>
              <w:t>395,3</w:t>
            </w:r>
          </w:p>
        </w:tc>
        <w:tc>
          <w:tcPr>
            <w:tcW w:w="125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987,1</w:t>
            </w:r>
          </w:p>
        </w:tc>
        <w:tc>
          <w:tcPr>
            <w:tcW w:w="119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1610,6</w:t>
            </w:r>
          </w:p>
        </w:tc>
        <w:tc>
          <w:tcPr>
            <w:tcW w:w="193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832,8</w:t>
            </w:r>
          </w:p>
        </w:tc>
        <w:tc>
          <w:tcPr>
            <w:tcW w:w="142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434,3</w:t>
            </w:r>
          </w:p>
        </w:tc>
      </w:tr>
      <w:tr w:rsidR="00AD1F84" w:rsidRPr="00967BDC" w:rsidTr="002F2EE5">
        <w:tc>
          <w:tcPr>
            <w:tcW w:w="2071"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откл. 2013/2012, руб.</w:t>
            </w:r>
          </w:p>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МВт.ч./(%)</w:t>
            </w:r>
          </w:p>
        </w:tc>
        <w:tc>
          <w:tcPr>
            <w:tcW w:w="157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6"/>
              <w:jc w:val="center"/>
              <w:rPr>
                <w:sz w:val="22"/>
                <w:szCs w:val="22"/>
                <w:lang w:eastAsia="en-US"/>
              </w:rPr>
            </w:pPr>
            <w:r w:rsidRPr="00967BDC">
              <w:rPr>
                <w:sz w:val="22"/>
                <w:szCs w:val="22"/>
                <w:lang w:eastAsia="en-US"/>
              </w:rPr>
              <w:t>49,3</w:t>
            </w:r>
          </w:p>
          <w:p w:rsidR="00AD1F84" w:rsidRPr="00967BDC" w:rsidRDefault="00AD1F84" w:rsidP="002F2EE5">
            <w:pPr>
              <w:ind w:firstLine="6"/>
              <w:jc w:val="center"/>
              <w:rPr>
                <w:sz w:val="22"/>
                <w:szCs w:val="22"/>
                <w:lang w:eastAsia="en-US"/>
              </w:rPr>
            </w:pPr>
            <w:r w:rsidRPr="00967BDC">
              <w:rPr>
                <w:sz w:val="22"/>
                <w:szCs w:val="22"/>
                <w:lang w:eastAsia="en-US"/>
              </w:rPr>
              <w:t>14,2 %</w:t>
            </w:r>
          </w:p>
        </w:tc>
        <w:tc>
          <w:tcPr>
            <w:tcW w:w="125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165,9</w:t>
            </w:r>
          </w:p>
          <w:p w:rsidR="00AD1F84" w:rsidRPr="00967BDC" w:rsidRDefault="00AD1F84" w:rsidP="002F2EE5">
            <w:pPr>
              <w:ind w:firstLine="38"/>
              <w:jc w:val="center"/>
              <w:rPr>
                <w:sz w:val="22"/>
                <w:szCs w:val="22"/>
                <w:lang w:eastAsia="en-US"/>
              </w:rPr>
            </w:pPr>
            <w:r w:rsidRPr="00967BDC">
              <w:rPr>
                <w:sz w:val="22"/>
                <w:szCs w:val="22"/>
                <w:lang w:eastAsia="en-US"/>
              </w:rPr>
              <w:t>20,2 %</w:t>
            </w:r>
          </w:p>
        </w:tc>
        <w:tc>
          <w:tcPr>
            <w:tcW w:w="119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lang w:eastAsia="en-US"/>
              </w:rPr>
            </w:pPr>
            <w:r w:rsidRPr="00967BDC">
              <w:rPr>
                <w:sz w:val="22"/>
                <w:szCs w:val="22"/>
                <w:lang w:eastAsia="en-US"/>
              </w:rPr>
              <w:t>178,8</w:t>
            </w:r>
          </w:p>
          <w:p w:rsidR="00AD1F84" w:rsidRPr="00967BDC" w:rsidRDefault="00AD1F84" w:rsidP="002F2EE5">
            <w:pPr>
              <w:ind w:firstLine="38"/>
              <w:jc w:val="center"/>
              <w:rPr>
                <w:sz w:val="22"/>
                <w:szCs w:val="22"/>
                <w:lang w:eastAsia="en-US"/>
              </w:rPr>
            </w:pPr>
            <w:r w:rsidRPr="00967BDC">
              <w:rPr>
                <w:sz w:val="22"/>
                <w:szCs w:val="22"/>
                <w:lang w:eastAsia="en-US"/>
              </w:rPr>
              <w:t>12,5 %</w:t>
            </w:r>
          </w:p>
        </w:tc>
        <w:tc>
          <w:tcPr>
            <w:tcW w:w="193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76,1</w:t>
            </w:r>
          </w:p>
          <w:p w:rsidR="00AD1F84" w:rsidRPr="00967BDC" w:rsidRDefault="00AD1F84" w:rsidP="002F2EE5">
            <w:pPr>
              <w:jc w:val="center"/>
              <w:rPr>
                <w:sz w:val="22"/>
                <w:szCs w:val="22"/>
                <w:lang w:eastAsia="en-US"/>
              </w:rPr>
            </w:pPr>
            <w:r w:rsidRPr="00967BDC">
              <w:rPr>
                <w:sz w:val="22"/>
                <w:szCs w:val="22"/>
                <w:lang w:eastAsia="en-US"/>
              </w:rPr>
              <w:t>10,1 %</w:t>
            </w:r>
          </w:p>
        </w:tc>
        <w:tc>
          <w:tcPr>
            <w:tcW w:w="142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48,7</w:t>
            </w:r>
          </w:p>
          <w:p w:rsidR="00AD1F84" w:rsidRPr="00967BDC" w:rsidRDefault="00AD1F84" w:rsidP="002F2EE5">
            <w:pPr>
              <w:jc w:val="center"/>
              <w:rPr>
                <w:sz w:val="22"/>
                <w:szCs w:val="22"/>
                <w:lang w:eastAsia="en-US"/>
              </w:rPr>
            </w:pPr>
            <w:r w:rsidRPr="00967BDC">
              <w:rPr>
                <w:sz w:val="22"/>
                <w:szCs w:val="22"/>
                <w:lang w:eastAsia="en-US"/>
              </w:rPr>
              <w:t>12,6 %</w:t>
            </w:r>
          </w:p>
        </w:tc>
      </w:tr>
      <w:tr w:rsidR="00AD1F84" w:rsidRPr="00967BDC" w:rsidTr="002F2EE5">
        <w:tc>
          <w:tcPr>
            <w:tcW w:w="2071"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2014 год</w:t>
            </w:r>
          </w:p>
        </w:tc>
        <w:tc>
          <w:tcPr>
            <w:tcW w:w="157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hanging="82"/>
              <w:jc w:val="center"/>
              <w:rPr>
                <w:sz w:val="22"/>
                <w:szCs w:val="22"/>
              </w:rPr>
            </w:pPr>
            <w:r w:rsidRPr="00967BDC">
              <w:rPr>
                <w:sz w:val="22"/>
                <w:szCs w:val="22"/>
              </w:rPr>
              <w:t>445,3</w:t>
            </w:r>
          </w:p>
        </w:tc>
        <w:tc>
          <w:tcPr>
            <w:tcW w:w="125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rPr>
            </w:pPr>
            <w:r w:rsidRPr="00967BDC">
              <w:rPr>
                <w:sz w:val="22"/>
                <w:szCs w:val="22"/>
              </w:rPr>
              <w:t>1153,5</w:t>
            </w:r>
          </w:p>
        </w:tc>
        <w:tc>
          <w:tcPr>
            <w:tcW w:w="119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rPr>
            </w:pPr>
            <w:r w:rsidRPr="00967BDC">
              <w:rPr>
                <w:sz w:val="22"/>
                <w:szCs w:val="22"/>
              </w:rPr>
              <w:t>1798,4</w:t>
            </w:r>
          </w:p>
        </w:tc>
        <w:tc>
          <w:tcPr>
            <w:tcW w:w="193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865,0</w:t>
            </w:r>
          </w:p>
        </w:tc>
        <w:tc>
          <w:tcPr>
            <w:tcW w:w="142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508,1</w:t>
            </w:r>
          </w:p>
        </w:tc>
      </w:tr>
      <w:tr w:rsidR="00AD1F84" w:rsidRPr="00967BDC" w:rsidTr="002F2EE5">
        <w:tc>
          <w:tcPr>
            <w:tcW w:w="2071" w:type="dxa"/>
            <w:tcBorders>
              <w:top w:val="single" w:sz="4" w:space="0" w:color="auto"/>
              <w:left w:val="single" w:sz="4" w:space="0" w:color="auto"/>
              <w:bottom w:val="single" w:sz="4" w:space="0" w:color="auto"/>
              <w:right w:val="single" w:sz="4" w:space="0" w:color="auto"/>
            </w:tcBorders>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откл. 2014/2013, руб.</w:t>
            </w:r>
          </w:p>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МВт.ч./(%)</w:t>
            </w:r>
          </w:p>
        </w:tc>
        <w:tc>
          <w:tcPr>
            <w:tcW w:w="157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6"/>
              <w:jc w:val="center"/>
              <w:rPr>
                <w:sz w:val="22"/>
                <w:szCs w:val="22"/>
              </w:rPr>
            </w:pPr>
            <w:r w:rsidRPr="00967BDC">
              <w:rPr>
                <w:sz w:val="22"/>
                <w:szCs w:val="22"/>
              </w:rPr>
              <w:t>50,0</w:t>
            </w:r>
          </w:p>
          <w:p w:rsidR="00AD1F84" w:rsidRPr="00967BDC" w:rsidRDefault="00AD1F84" w:rsidP="002F2EE5">
            <w:pPr>
              <w:ind w:firstLine="6"/>
              <w:jc w:val="center"/>
              <w:rPr>
                <w:sz w:val="22"/>
                <w:szCs w:val="22"/>
              </w:rPr>
            </w:pPr>
            <w:r w:rsidRPr="00967BDC">
              <w:rPr>
                <w:sz w:val="22"/>
                <w:szCs w:val="22"/>
              </w:rPr>
              <w:t>12,6</w:t>
            </w:r>
          </w:p>
        </w:tc>
        <w:tc>
          <w:tcPr>
            <w:tcW w:w="125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rPr>
            </w:pPr>
            <w:r w:rsidRPr="00967BDC">
              <w:rPr>
                <w:sz w:val="22"/>
                <w:szCs w:val="22"/>
              </w:rPr>
              <w:t>166,4</w:t>
            </w:r>
          </w:p>
          <w:p w:rsidR="00AD1F84" w:rsidRPr="00967BDC" w:rsidRDefault="00AD1F84" w:rsidP="002F2EE5">
            <w:pPr>
              <w:ind w:firstLine="38"/>
              <w:jc w:val="center"/>
              <w:rPr>
                <w:sz w:val="22"/>
                <w:szCs w:val="22"/>
              </w:rPr>
            </w:pPr>
            <w:r w:rsidRPr="00967BDC">
              <w:rPr>
                <w:sz w:val="22"/>
                <w:szCs w:val="22"/>
              </w:rPr>
              <w:t>16,9</w:t>
            </w:r>
          </w:p>
        </w:tc>
        <w:tc>
          <w:tcPr>
            <w:tcW w:w="119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38"/>
              <w:jc w:val="center"/>
              <w:rPr>
                <w:sz w:val="22"/>
                <w:szCs w:val="22"/>
              </w:rPr>
            </w:pPr>
            <w:r w:rsidRPr="00967BDC">
              <w:rPr>
                <w:sz w:val="22"/>
                <w:szCs w:val="22"/>
              </w:rPr>
              <w:t>187,8</w:t>
            </w:r>
          </w:p>
          <w:p w:rsidR="00AD1F84" w:rsidRPr="00967BDC" w:rsidRDefault="00AD1F84" w:rsidP="002F2EE5">
            <w:pPr>
              <w:ind w:firstLine="38"/>
              <w:jc w:val="center"/>
              <w:rPr>
                <w:sz w:val="22"/>
                <w:szCs w:val="22"/>
              </w:rPr>
            </w:pPr>
            <w:r w:rsidRPr="00967BDC">
              <w:rPr>
                <w:sz w:val="22"/>
                <w:szCs w:val="22"/>
              </w:rPr>
              <w:t>11,7</w:t>
            </w:r>
          </w:p>
        </w:tc>
        <w:tc>
          <w:tcPr>
            <w:tcW w:w="193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32,2</w:t>
            </w:r>
          </w:p>
          <w:p w:rsidR="00AD1F84" w:rsidRPr="00967BDC" w:rsidRDefault="00AD1F84" w:rsidP="002F2EE5">
            <w:pPr>
              <w:jc w:val="center"/>
              <w:rPr>
                <w:sz w:val="22"/>
                <w:szCs w:val="22"/>
              </w:rPr>
            </w:pPr>
            <w:r w:rsidRPr="00967BDC">
              <w:rPr>
                <w:sz w:val="22"/>
                <w:szCs w:val="22"/>
              </w:rPr>
              <w:t>3,9</w:t>
            </w:r>
          </w:p>
        </w:tc>
        <w:tc>
          <w:tcPr>
            <w:tcW w:w="1427"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73,8</w:t>
            </w:r>
          </w:p>
          <w:p w:rsidR="00AD1F84" w:rsidRPr="00967BDC" w:rsidRDefault="00AD1F84" w:rsidP="002F2EE5">
            <w:pPr>
              <w:jc w:val="center"/>
              <w:rPr>
                <w:sz w:val="22"/>
                <w:szCs w:val="22"/>
              </w:rPr>
            </w:pPr>
            <w:r w:rsidRPr="00967BDC">
              <w:rPr>
                <w:sz w:val="22"/>
                <w:szCs w:val="22"/>
              </w:rPr>
              <w:t>17,0</w:t>
            </w:r>
          </w:p>
        </w:tc>
      </w:tr>
    </w:tbl>
    <w:p w:rsidR="00AD1F84" w:rsidRDefault="00AD1F84" w:rsidP="00AD1F84">
      <w:pPr>
        <w:ind w:firstLine="741"/>
        <w:jc w:val="both"/>
      </w:pPr>
    </w:p>
    <w:p w:rsidR="00AD1F84" w:rsidRDefault="00AD1F84" w:rsidP="001D5351">
      <w:pPr>
        <w:ind w:firstLine="741"/>
        <w:contextualSpacing/>
        <w:jc w:val="both"/>
      </w:pPr>
      <w:r>
        <w:t>В 2014 году наблюдается значительное увеличение итоговой цены на покупку электроэнергии на ОРЭМ и РРЭМ на 17,0 %, что обусловлено увеличением цены по регулируемым договорам, по договорам на РСВ, БР и по договорам с розничными производителями электрической энергии.</w:t>
      </w:r>
    </w:p>
    <w:p w:rsidR="001D5351" w:rsidRDefault="001D5351" w:rsidP="001D5351">
      <w:pPr>
        <w:spacing w:after="200" w:line="276" w:lineRule="auto"/>
        <w:contextualSpacing/>
        <w:jc w:val="center"/>
        <w:rPr>
          <w:rFonts w:eastAsia="Calibri"/>
          <w:lang w:eastAsia="en-US"/>
        </w:rPr>
      </w:pPr>
    </w:p>
    <w:p w:rsidR="00AD1F84" w:rsidRDefault="00AD1F84" w:rsidP="001D5351">
      <w:pPr>
        <w:spacing w:after="200" w:line="276" w:lineRule="auto"/>
        <w:contextualSpacing/>
        <w:jc w:val="center"/>
        <w:rPr>
          <w:rFonts w:eastAsia="Calibri"/>
          <w:b/>
          <w:lang w:eastAsia="en-US"/>
        </w:rPr>
      </w:pPr>
      <w:r w:rsidRPr="001D5351">
        <w:rPr>
          <w:rFonts w:eastAsia="Calibri"/>
          <w:b/>
          <w:lang w:eastAsia="en-US"/>
        </w:rPr>
        <w:t>Цена на покупку мощности в разрезе договоров оптового рынка, тыс. руб</w:t>
      </w:r>
      <w:r w:rsidR="001D5351">
        <w:rPr>
          <w:rFonts w:eastAsia="Calibri"/>
          <w:b/>
          <w:lang w:eastAsia="en-US"/>
        </w:rPr>
        <w:t>.</w:t>
      </w:r>
      <w:r w:rsidRPr="001D5351">
        <w:rPr>
          <w:rFonts w:eastAsia="Calibri"/>
          <w:b/>
          <w:lang w:eastAsia="en-US"/>
        </w:rPr>
        <w:t>/МВт</w:t>
      </w:r>
    </w:p>
    <w:p w:rsidR="0014448B" w:rsidRPr="0014448B" w:rsidRDefault="0014448B" w:rsidP="001D5351">
      <w:pPr>
        <w:spacing w:after="200" w:line="276" w:lineRule="auto"/>
        <w:contextualSpacing/>
        <w:jc w:val="center"/>
        <w:rPr>
          <w:rFonts w:eastAsia="Calibri"/>
          <w:b/>
          <w:sz w:val="14"/>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6"/>
        <w:gridCol w:w="1843"/>
        <w:gridCol w:w="2551"/>
        <w:gridCol w:w="1382"/>
      </w:tblGrid>
      <w:tr w:rsidR="00AD1F84" w:rsidRPr="00967BDC" w:rsidTr="001D5351">
        <w:trPr>
          <w:trHeight w:val="1044"/>
        </w:trPr>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1D5351">
            <w:pPr>
              <w:spacing w:line="276" w:lineRule="auto"/>
              <w:jc w:val="center"/>
              <w:rPr>
                <w:rFonts w:eastAsia="Calibri"/>
                <w:b/>
                <w:sz w:val="22"/>
                <w:szCs w:val="22"/>
                <w:lang w:eastAsia="en-US"/>
              </w:rPr>
            </w:pPr>
            <w:r w:rsidRPr="00967BDC">
              <w:rPr>
                <w:rFonts w:eastAsia="Calibri"/>
                <w:b/>
                <w:sz w:val="22"/>
                <w:szCs w:val="22"/>
                <w:lang w:eastAsia="en-US"/>
              </w:rPr>
              <w:t>Наименование показателя/ период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1D5351">
            <w:pPr>
              <w:spacing w:after="200" w:line="276" w:lineRule="auto"/>
              <w:jc w:val="center"/>
              <w:rPr>
                <w:rFonts w:eastAsia="Calibri"/>
                <w:b/>
                <w:bCs/>
                <w:sz w:val="22"/>
                <w:szCs w:val="22"/>
                <w:lang w:eastAsia="en-US"/>
              </w:rPr>
            </w:pPr>
            <w:r w:rsidRPr="00967BDC">
              <w:rPr>
                <w:rFonts w:eastAsia="Calibri"/>
                <w:b/>
                <w:bCs/>
                <w:sz w:val="22"/>
                <w:szCs w:val="22"/>
                <w:lang w:eastAsia="en-US"/>
              </w:rPr>
              <w:t>по регулируемым договорам</w:t>
            </w:r>
          </w:p>
        </w:tc>
        <w:tc>
          <w:tcPr>
            <w:tcW w:w="2551"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1D5351">
            <w:pPr>
              <w:spacing w:after="200" w:line="276" w:lineRule="auto"/>
              <w:jc w:val="center"/>
              <w:rPr>
                <w:rFonts w:eastAsia="Calibri"/>
                <w:b/>
                <w:bCs/>
                <w:sz w:val="22"/>
                <w:szCs w:val="22"/>
                <w:lang w:eastAsia="en-US"/>
              </w:rPr>
            </w:pPr>
            <w:r w:rsidRPr="00967BDC">
              <w:rPr>
                <w:rFonts w:eastAsia="Calibri"/>
                <w:b/>
                <w:bCs/>
                <w:sz w:val="22"/>
                <w:szCs w:val="22"/>
                <w:lang w:eastAsia="en-US"/>
              </w:rPr>
              <w:t>по договорам КОМ, ДПМ, ДПМ АЭС/ГЭС, ДПМ ВИЭ, ВР</w:t>
            </w:r>
          </w:p>
        </w:tc>
        <w:tc>
          <w:tcPr>
            <w:tcW w:w="1382"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1D5351">
            <w:pPr>
              <w:spacing w:line="276" w:lineRule="auto"/>
              <w:jc w:val="center"/>
              <w:rPr>
                <w:rFonts w:eastAsia="Calibri"/>
                <w:b/>
                <w:sz w:val="22"/>
                <w:szCs w:val="22"/>
                <w:lang w:eastAsia="en-US"/>
              </w:rPr>
            </w:pPr>
            <w:r w:rsidRPr="00967BDC">
              <w:rPr>
                <w:rFonts w:eastAsia="Calibri"/>
                <w:b/>
                <w:sz w:val="22"/>
                <w:szCs w:val="22"/>
                <w:lang w:eastAsia="en-US"/>
              </w:rPr>
              <w:t>Покупка,</w:t>
            </w:r>
          </w:p>
          <w:p w:rsidR="00AD1F84" w:rsidRPr="00967BDC" w:rsidRDefault="00AD1F84" w:rsidP="001D5351">
            <w:pPr>
              <w:spacing w:line="276" w:lineRule="auto"/>
              <w:jc w:val="center"/>
              <w:rPr>
                <w:rFonts w:eastAsia="Calibri"/>
                <w:b/>
                <w:sz w:val="22"/>
                <w:szCs w:val="22"/>
                <w:lang w:eastAsia="en-US"/>
              </w:rPr>
            </w:pPr>
            <w:r w:rsidRPr="00967BDC">
              <w:rPr>
                <w:rFonts w:eastAsia="Calibri"/>
                <w:b/>
                <w:sz w:val="22"/>
                <w:szCs w:val="22"/>
                <w:lang w:eastAsia="en-US"/>
              </w:rPr>
              <w:t>итого</w:t>
            </w:r>
          </w:p>
        </w:tc>
      </w:tr>
      <w:tr w:rsidR="00AD1F84" w:rsidRPr="00967BDC" w:rsidTr="002F2EE5">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2012 год</w:t>
            </w:r>
          </w:p>
        </w:tc>
        <w:tc>
          <w:tcPr>
            <w:tcW w:w="1843"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25"/>
              <w:jc w:val="center"/>
              <w:rPr>
                <w:sz w:val="22"/>
                <w:szCs w:val="22"/>
                <w:lang w:eastAsia="en-US"/>
              </w:rPr>
            </w:pPr>
            <w:r w:rsidRPr="00967BDC">
              <w:rPr>
                <w:sz w:val="22"/>
                <w:szCs w:val="22"/>
                <w:lang w:eastAsia="en-US"/>
              </w:rPr>
              <w:t>107,7</w:t>
            </w:r>
          </w:p>
        </w:tc>
        <w:tc>
          <w:tcPr>
            <w:tcW w:w="2551"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184,4</w:t>
            </w:r>
          </w:p>
        </w:tc>
        <w:tc>
          <w:tcPr>
            <w:tcW w:w="1382"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107,8</w:t>
            </w:r>
          </w:p>
        </w:tc>
      </w:tr>
      <w:tr w:rsidR="00AD1F84" w:rsidRPr="00967BDC" w:rsidTr="002F2EE5">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2013 год</w:t>
            </w:r>
          </w:p>
        </w:tc>
        <w:tc>
          <w:tcPr>
            <w:tcW w:w="1843"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25"/>
              <w:jc w:val="center"/>
              <w:rPr>
                <w:sz w:val="22"/>
                <w:szCs w:val="22"/>
              </w:rPr>
            </w:pPr>
            <w:r w:rsidRPr="00967BDC">
              <w:rPr>
                <w:sz w:val="22"/>
                <w:szCs w:val="22"/>
              </w:rPr>
              <w:t>115,8</w:t>
            </w:r>
          </w:p>
        </w:tc>
        <w:tc>
          <w:tcPr>
            <w:tcW w:w="2551"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192,4</w:t>
            </w:r>
          </w:p>
        </w:tc>
        <w:tc>
          <w:tcPr>
            <w:tcW w:w="1382"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116,0</w:t>
            </w:r>
          </w:p>
        </w:tc>
      </w:tr>
      <w:tr w:rsidR="00AD1F84" w:rsidRPr="00967BDC" w:rsidTr="002F2EE5">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откл 2013/2012, тыс. руб./МВт,</w:t>
            </w:r>
          </w:p>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lastRenderedPageBreak/>
              <w:t>(%)</w:t>
            </w:r>
          </w:p>
        </w:tc>
        <w:tc>
          <w:tcPr>
            <w:tcW w:w="1843"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ind w:firstLine="25"/>
              <w:jc w:val="center"/>
              <w:rPr>
                <w:sz w:val="22"/>
                <w:szCs w:val="22"/>
                <w:lang w:eastAsia="en-US"/>
              </w:rPr>
            </w:pPr>
            <w:r w:rsidRPr="00967BDC">
              <w:rPr>
                <w:sz w:val="22"/>
                <w:szCs w:val="22"/>
                <w:lang w:eastAsia="en-US"/>
              </w:rPr>
              <w:lastRenderedPageBreak/>
              <w:t>8,1</w:t>
            </w:r>
          </w:p>
          <w:p w:rsidR="00AD1F84" w:rsidRPr="00967BDC" w:rsidRDefault="00AD1F84" w:rsidP="002F2EE5">
            <w:pPr>
              <w:ind w:firstLine="25"/>
              <w:jc w:val="center"/>
              <w:rPr>
                <w:sz w:val="22"/>
                <w:szCs w:val="22"/>
                <w:lang w:eastAsia="en-US"/>
              </w:rPr>
            </w:pPr>
            <w:r w:rsidRPr="00967BDC">
              <w:rPr>
                <w:sz w:val="22"/>
                <w:szCs w:val="22"/>
                <w:lang w:eastAsia="en-US"/>
              </w:rPr>
              <w:lastRenderedPageBreak/>
              <w:t>7,5 %</w:t>
            </w:r>
          </w:p>
        </w:tc>
        <w:tc>
          <w:tcPr>
            <w:tcW w:w="2551"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ind w:firstLine="25"/>
              <w:jc w:val="center"/>
              <w:rPr>
                <w:sz w:val="22"/>
                <w:szCs w:val="22"/>
                <w:lang w:eastAsia="en-US"/>
              </w:rPr>
            </w:pPr>
            <w:r w:rsidRPr="00967BDC">
              <w:rPr>
                <w:sz w:val="22"/>
                <w:szCs w:val="22"/>
                <w:lang w:eastAsia="en-US"/>
              </w:rPr>
              <w:lastRenderedPageBreak/>
              <w:t>8,0</w:t>
            </w:r>
          </w:p>
          <w:p w:rsidR="00AD1F84" w:rsidRPr="00967BDC" w:rsidRDefault="00AD1F84" w:rsidP="002F2EE5">
            <w:pPr>
              <w:ind w:firstLine="25"/>
              <w:jc w:val="center"/>
              <w:rPr>
                <w:sz w:val="22"/>
                <w:szCs w:val="22"/>
                <w:lang w:eastAsia="en-US"/>
              </w:rPr>
            </w:pPr>
            <w:r w:rsidRPr="00967BDC">
              <w:rPr>
                <w:sz w:val="22"/>
                <w:szCs w:val="22"/>
                <w:lang w:eastAsia="en-US"/>
              </w:rPr>
              <w:lastRenderedPageBreak/>
              <w:t>4,3 %</w:t>
            </w:r>
          </w:p>
        </w:tc>
        <w:tc>
          <w:tcPr>
            <w:tcW w:w="1382"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jc w:val="center"/>
              <w:rPr>
                <w:sz w:val="22"/>
                <w:szCs w:val="22"/>
                <w:lang w:eastAsia="en-US"/>
              </w:rPr>
            </w:pPr>
            <w:r w:rsidRPr="00967BDC">
              <w:rPr>
                <w:sz w:val="22"/>
                <w:szCs w:val="22"/>
                <w:lang w:eastAsia="en-US"/>
              </w:rPr>
              <w:lastRenderedPageBreak/>
              <w:t>8,2</w:t>
            </w:r>
          </w:p>
          <w:p w:rsidR="00AD1F84" w:rsidRPr="00967BDC" w:rsidRDefault="00AD1F84" w:rsidP="002F2EE5">
            <w:pPr>
              <w:jc w:val="center"/>
              <w:rPr>
                <w:sz w:val="22"/>
                <w:szCs w:val="22"/>
                <w:lang w:eastAsia="en-US"/>
              </w:rPr>
            </w:pPr>
            <w:r w:rsidRPr="00967BDC">
              <w:rPr>
                <w:sz w:val="22"/>
                <w:szCs w:val="22"/>
                <w:lang w:eastAsia="en-US"/>
              </w:rPr>
              <w:lastRenderedPageBreak/>
              <w:t>7,6 %</w:t>
            </w:r>
          </w:p>
        </w:tc>
      </w:tr>
      <w:tr w:rsidR="00AD1F84" w:rsidRPr="00967BDC" w:rsidTr="002F2EE5">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lastRenderedPageBreak/>
              <w:t>2014 год</w:t>
            </w:r>
          </w:p>
        </w:tc>
        <w:tc>
          <w:tcPr>
            <w:tcW w:w="1843"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ind w:firstLine="25"/>
              <w:jc w:val="center"/>
              <w:rPr>
                <w:sz w:val="22"/>
                <w:szCs w:val="22"/>
              </w:rPr>
            </w:pPr>
            <w:r w:rsidRPr="00967BDC">
              <w:rPr>
                <w:sz w:val="22"/>
                <w:szCs w:val="22"/>
              </w:rPr>
              <w:t>128,3</w:t>
            </w:r>
          </w:p>
        </w:tc>
        <w:tc>
          <w:tcPr>
            <w:tcW w:w="2551"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218,9</w:t>
            </w:r>
          </w:p>
        </w:tc>
        <w:tc>
          <w:tcPr>
            <w:tcW w:w="1382"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128,9</w:t>
            </w:r>
          </w:p>
        </w:tc>
      </w:tr>
      <w:tr w:rsidR="00AD1F84" w:rsidRPr="00967BDC" w:rsidTr="002F2EE5">
        <w:tc>
          <w:tcPr>
            <w:tcW w:w="3686"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откл 2014/2013, тыс. руб./МВт,</w:t>
            </w:r>
          </w:p>
          <w:p w:rsidR="00AD1F84" w:rsidRPr="00967BDC" w:rsidRDefault="00AD1F84" w:rsidP="002F2EE5">
            <w:pPr>
              <w:spacing w:line="276" w:lineRule="auto"/>
              <w:jc w:val="center"/>
              <w:rPr>
                <w:rFonts w:eastAsia="Calibri"/>
                <w:sz w:val="22"/>
                <w:szCs w:val="22"/>
                <w:lang w:eastAsia="en-US"/>
              </w:rPr>
            </w:pPr>
            <w:r w:rsidRPr="00967BDC">
              <w:rPr>
                <w:rFonts w:eastAsia="Calibri"/>
                <w:sz w:val="22"/>
                <w:szCs w:val="22"/>
                <w:lang w:eastAsia="en-US"/>
              </w:rPr>
              <w:t>(%)</w:t>
            </w:r>
          </w:p>
        </w:tc>
        <w:tc>
          <w:tcPr>
            <w:tcW w:w="1843"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ind w:firstLine="25"/>
              <w:jc w:val="center"/>
              <w:rPr>
                <w:sz w:val="22"/>
                <w:szCs w:val="22"/>
              </w:rPr>
            </w:pPr>
            <w:r w:rsidRPr="00967BDC">
              <w:rPr>
                <w:sz w:val="22"/>
                <w:szCs w:val="22"/>
              </w:rPr>
              <w:t>12,5</w:t>
            </w:r>
          </w:p>
          <w:p w:rsidR="00AD1F84" w:rsidRPr="00967BDC" w:rsidRDefault="00AD1F84" w:rsidP="002F2EE5">
            <w:pPr>
              <w:ind w:firstLine="25"/>
              <w:jc w:val="center"/>
              <w:rPr>
                <w:sz w:val="22"/>
                <w:szCs w:val="22"/>
              </w:rPr>
            </w:pPr>
            <w:r w:rsidRPr="00967BDC">
              <w:rPr>
                <w:sz w:val="22"/>
                <w:szCs w:val="22"/>
              </w:rPr>
              <w:t>10,8</w:t>
            </w:r>
          </w:p>
        </w:tc>
        <w:tc>
          <w:tcPr>
            <w:tcW w:w="2551"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ind w:firstLine="25"/>
              <w:jc w:val="center"/>
              <w:rPr>
                <w:sz w:val="22"/>
                <w:szCs w:val="22"/>
              </w:rPr>
            </w:pPr>
            <w:r w:rsidRPr="00967BDC">
              <w:rPr>
                <w:sz w:val="22"/>
                <w:szCs w:val="22"/>
              </w:rPr>
              <w:t>26,5</w:t>
            </w:r>
          </w:p>
          <w:p w:rsidR="00AD1F84" w:rsidRPr="00967BDC" w:rsidRDefault="00AD1F84" w:rsidP="002F2EE5">
            <w:pPr>
              <w:ind w:firstLine="25"/>
              <w:jc w:val="center"/>
              <w:rPr>
                <w:sz w:val="22"/>
                <w:szCs w:val="22"/>
              </w:rPr>
            </w:pPr>
            <w:r w:rsidRPr="00967BDC">
              <w:rPr>
                <w:sz w:val="22"/>
                <w:szCs w:val="22"/>
              </w:rPr>
              <w:t>13,8</w:t>
            </w:r>
          </w:p>
        </w:tc>
        <w:tc>
          <w:tcPr>
            <w:tcW w:w="1382" w:type="dxa"/>
            <w:tcBorders>
              <w:top w:val="single" w:sz="4" w:space="0" w:color="auto"/>
              <w:left w:val="single" w:sz="4" w:space="0" w:color="auto"/>
              <w:bottom w:val="single" w:sz="4" w:space="0" w:color="auto"/>
              <w:right w:val="single" w:sz="4" w:space="0" w:color="auto"/>
            </w:tcBorders>
          </w:tcPr>
          <w:p w:rsidR="00AD1F84" w:rsidRPr="00967BDC" w:rsidRDefault="00AD1F84" w:rsidP="002F2EE5">
            <w:pPr>
              <w:jc w:val="center"/>
              <w:rPr>
                <w:sz w:val="22"/>
                <w:szCs w:val="22"/>
              </w:rPr>
            </w:pPr>
            <w:r w:rsidRPr="00967BDC">
              <w:rPr>
                <w:sz w:val="22"/>
                <w:szCs w:val="22"/>
              </w:rPr>
              <w:t>12,9</w:t>
            </w:r>
          </w:p>
          <w:p w:rsidR="00AD1F84" w:rsidRPr="00967BDC" w:rsidRDefault="00AD1F84" w:rsidP="002F2EE5">
            <w:pPr>
              <w:jc w:val="center"/>
              <w:rPr>
                <w:sz w:val="22"/>
                <w:szCs w:val="22"/>
              </w:rPr>
            </w:pPr>
            <w:r w:rsidRPr="00967BDC">
              <w:rPr>
                <w:sz w:val="22"/>
                <w:szCs w:val="22"/>
              </w:rPr>
              <w:t>11,1</w:t>
            </w:r>
          </w:p>
        </w:tc>
      </w:tr>
    </w:tbl>
    <w:p w:rsidR="0014448B" w:rsidRDefault="0014448B" w:rsidP="00AD1F84">
      <w:pPr>
        <w:spacing w:line="276" w:lineRule="auto"/>
        <w:ind w:firstLine="720"/>
        <w:jc w:val="both"/>
      </w:pPr>
    </w:p>
    <w:p w:rsidR="00AD1F84" w:rsidRDefault="0014448B" w:rsidP="00AD1F84">
      <w:pPr>
        <w:spacing w:line="276" w:lineRule="auto"/>
        <w:ind w:firstLine="720"/>
        <w:jc w:val="both"/>
      </w:pPr>
      <w:r>
        <w:t>В</w:t>
      </w:r>
      <w:r w:rsidR="00AD1F84" w:rsidRPr="004C0054">
        <w:t xml:space="preserve"> 2014 году увеличилась цена </w:t>
      </w:r>
      <w:r w:rsidR="00AD1F84">
        <w:t>на покупку</w:t>
      </w:r>
      <w:r w:rsidR="00AD1F84" w:rsidRPr="004C0054">
        <w:t xml:space="preserve"> мощности по регулируемым договорам на </w:t>
      </w:r>
      <w:r w:rsidR="00AD1F84">
        <w:t>10,8</w:t>
      </w:r>
      <w:r w:rsidR="00AD1F84" w:rsidRPr="004C0054">
        <w:t xml:space="preserve"> %.</w:t>
      </w:r>
    </w:p>
    <w:p w:rsidR="00AD1F84" w:rsidRDefault="00AD1F84" w:rsidP="00AD1F84">
      <w:pPr>
        <w:spacing w:line="276" w:lineRule="auto"/>
        <w:ind w:firstLine="720"/>
        <w:jc w:val="both"/>
        <w:rPr>
          <w:rFonts w:eastAsia="Calibri"/>
          <w:sz w:val="20"/>
          <w:szCs w:val="20"/>
          <w:lang w:eastAsia="en-US"/>
        </w:rPr>
      </w:pPr>
    </w:p>
    <w:p w:rsidR="00AD1F84" w:rsidRPr="004A1E12" w:rsidRDefault="00AD1F84" w:rsidP="00771034">
      <w:pPr>
        <w:spacing w:line="276" w:lineRule="auto"/>
        <w:jc w:val="center"/>
        <w:rPr>
          <w:rFonts w:eastAsia="Calibri"/>
          <w:b/>
          <w:sz w:val="28"/>
          <w:lang w:eastAsia="en-US"/>
        </w:rPr>
      </w:pPr>
      <w:r w:rsidRPr="004A1E12">
        <w:rPr>
          <w:rFonts w:eastAsia="Calibri"/>
          <w:b/>
          <w:sz w:val="28"/>
          <w:lang w:eastAsia="en-US"/>
        </w:rPr>
        <w:t>4.</w:t>
      </w:r>
      <w:r w:rsidR="00771034" w:rsidRPr="004A1E12">
        <w:rPr>
          <w:rFonts w:eastAsia="Calibri"/>
          <w:b/>
          <w:sz w:val="28"/>
          <w:lang w:eastAsia="en-US"/>
        </w:rPr>
        <w:t>1.3</w:t>
      </w:r>
      <w:r w:rsidR="00D31121" w:rsidRPr="004A1E12">
        <w:rPr>
          <w:rFonts w:eastAsia="Calibri"/>
          <w:b/>
          <w:sz w:val="28"/>
          <w:lang w:eastAsia="en-US"/>
        </w:rPr>
        <w:t>.</w:t>
      </w:r>
      <w:r w:rsidRPr="004A1E12">
        <w:rPr>
          <w:rFonts w:eastAsia="Calibri"/>
          <w:b/>
          <w:sz w:val="28"/>
          <w:lang w:eastAsia="en-US"/>
        </w:rPr>
        <w:tab/>
        <w:t>Стоимостные показатели покупки электрической энергии и мощности</w:t>
      </w:r>
    </w:p>
    <w:p w:rsidR="009A7A52" w:rsidRDefault="009A7A52" w:rsidP="009A7A52">
      <w:pPr>
        <w:ind w:firstLine="720"/>
        <w:jc w:val="both"/>
        <w:rPr>
          <w:rFonts w:eastAsia="Calibri"/>
          <w:lang w:eastAsia="en-US"/>
        </w:rPr>
      </w:pPr>
    </w:p>
    <w:p w:rsidR="009A7A52" w:rsidRDefault="009A7A52" w:rsidP="009A7A52">
      <w:pPr>
        <w:ind w:firstLine="720"/>
        <w:jc w:val="both"/>
        <w:rPr>
          <w:rFonts w:eastAsia="Calibri"/>
          <w:lang w:eastAsia="en-US"/>
        </w:rPr>
      </w:pPr>
      <w:r>
        <w:rPr>
          <w:rFonts w:eastAsia="Calibri"/>
          <w:lang w:eastAsia="en-US"/>
        </w:rPr>
        <w:t>В</w:t>
      </w:r>
      <w:r w:rsidRPr="00C71373">
        <w:rPr>
          <w:rFonts w:eastAsia="Calibri"/>
          <w:lang w:eastAsia="en-US"/>
        </w:rPr>
        <w:t xml:space="preserve"> 2014 году общая стоимость покупки (без учета продажи) электроэнергии и мощности на оптовом и розничном рынках составила </w:t>
      </w:r>
      <w:r>
        <w:rPr>
          <w:rFonts w:eastAsia="Calibri"/>
          <w:lang w:eastAsia="en-US"/>
        </w:rPr>
        <w:t>1600,7</w:t>
      </w:r>
      <w:r w:rsidRPr="00C71373">
        <w:rPr>
          <w:rFonts w:eastAsia="Calibri"/>
          <w:lang w:eastAsia="en-US"/>
        </w:rPr>
        <w:t xml:space="preserve"> млн. руб., что </w:t>
      </w:r>
      <w:r>
        <w:rPr>
          <w:rFonts w:eastAsia="Calibri"/>
          <w:lang w:eastAsia="en-US"/>
        </w:rPr>
        <w:t>выше</w:t>
      </w:r>
      <w:r w:rsidRPr="00C71373">
        <w:rPr>
          <w:rFonts w:eastAsia="Calibri"/>
          <w:lang w:eastAsia="en-US"/>
        </w:rPr>
        <w:t xml:space="preserve"> аналогичного показателя 2013 года на </w:t>
      </w:r>
      <w:r>
        <w:rPr>
          <w:rFonts w:eastAsia="Calibri"/>
          <w:lang w:eastAsia="en-US"/>
        </w:rPr>
        <w:t>15,2</w:t>
      </w:r>
      <w:r w:rsidRPr="00C71373">
        <w:rPr>
          <w:rFonts w:eastAsia="Calibri"/>
          <w:lang w:eastAsia="en-US"/>
        </w:rPr>
        <w:t xml:space="preserve">%. Данное изменение обусловлено </w:t>
      </w:r>
      <w:r>
        <w:rPr>
          <w:rFonts w:eastAsia="Calibri"/>
          <w:lang w:eastAsia="en-US"/>
        </w:rPr>
        <w:t>увеличением объема покупки электрической энергии на 1,7 % и увеличением итоговой цены на покупку электрической энергии на 17,0 %.</w:t>
      </w:r>
    </w:p>
    <w:p w:rsidR="00967BDC" w:rsidRDefault="00967BDC" w:rsidP="00D31121">
      <w:pPr>
        <w:spacing w:line="276" w:lineRule="auto"/>
        <w:rPr>
          <w:b/>
        </w:rPr>
      </w:pPr>
    </w:p>
    <w:p w:rsidR="00AD1F84" w:rsidRDefault="00AD1F84" w:rsidP="00AD1F84">
      <w:pPr>
        <w:spacing w:line="276" w:lineRule="auto"/>
        <w:jc w:val="center"/>
        <w:rPr>
          <w:b/>
        </w:rPr>
      </w:pPr>
      <w:r w:rsidRPr="0014448B">
        <w:rPr>
          <w:b/>
        </w:rPr>
        <w:t>Структура стоимости покупки электроэнергии и мощности на оптовом рынке и  розничном рынках в 2012-2014 гг. млн. руб. с учетом НДС</w:t>
      </w:r>
    </w:p>
    <w:p w:rsidR="00967BDC" w:rsidRPr="0014448B" w:rsidRDefault="00967BDC" w:rsidP="00AD1F84">
      <w:pPr>
        <w:spacing w:line="276" w:lineRule="auto"/>
        <w:jc w:val="center"/>
        <w:rPr>
          <w:b/>
        </w:rPr>
      </w:pP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97"/>
        <w:gridCol w:w="798"/>
        <w:gridCol w:w="866"/>
        <w:gridCol w:w="1244"/>
        <w:gridCol w:w="1426"/>
        <w:gridCol w:w="1015"/>
        <w:gridCol w:w="1418"/>
        <w:gridCol w:w="1276"/>
      </w:tblGrid>
      <w:tr w:rsidR="00AD1F84" w:rsidRPr="0014448B" w:rsidTr="0014448B">
        <w:tc>
          <w:tcPr>
            <w:tcW w:w="1597" w:type="dxa"/>
            <w:vMerge w:val="restart"/>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Наименование показателя/ период</w:t>
            </w:r>
          </w:p>
        </w:tc>
        <w:tc>
          <w:tcPr>
            <w:tcW w:w="5349" w:type="dxa"/>
            <w:gridSpan w:val="5"/>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b/>
                <w:sz w:val="22"/>
              </w:rPr>
            </w:pPr>
            <w:r w:rsidRPr="0014448B">
              <w:rPr>
                <w:b/>
                <w:sz w:val="22"/>
              </w:rPr>
              <w:t>Стоимость покупки на оптовом рынке</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rFonts w:eastAsia="Calibri"/>
                <w:sz w:val="22"/>
                <w:lang w:eastAsia="en-US"/>
              </w:rPr>
              <w:t>Стоимость покупки на РРЭ у розничных производителей</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Итого стоимость покупки</w:t>
            </w:r>
          </w:p>
          <w:p w:rsidR="00AD1F84" w:rsidRPr="0014448B" w:rsidRDefault="00AD1F84" w:rsidP="002F2EE5">
            <w:pPr>
              <w:spacing w:line="276" w:lineRule="auto"/>
              <w:jc w:val="center"/>
              <w:rPr>
                <w:sz w:val="22"/>
              </w:rPr>
            </w:pPr>
            <w:r w:rsidRPr="0014448B">
              <w:rPr>
                <w:sz w:val="22"/>
              </w:rPr>
              <w:t>ОРЭМ+</w:t>
            </w:r>
          </w:p>
          <w:p w:rsidR="00AD1F84" w:rsidRPr="0014448B" w:rsidRDefault="00AD1F84" w:rsidP="002F2EE5">
            <w:pPr>
              <w:spacing w:line="276" w:lineRule="auto"/>
              <w:jc w:val="center"/>
              <w:rPr>
                <w:sz w:val="22"/>
              </w:rPr>
            </w:pPr>
            <w:r w:rsidRPr="0014448B">
              <w:rPr>
                <w:sz w:val="22"/>
              </w:rPr>
              <w:t>РРЭ</w:t>
            </w:r>
          </w:p>
        </w:tc>
      </w:tr>
      <w:tr w:rsidR="00AD1F84" w:rsidRPr="0014448B" w:rsidTr="0014448B">
        <w:tc>
          <w:tcPr>
            <w:tcW w:w="1597"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1664" w:type="dxa"/>
            <w:gridSpan w:val="2"/>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по регулируемым договорам</w:t>
            </w:r>
          </w:p>
        </w:tc>
        <w:tc>
          <w:tcPr>
            <w:tcW w:w="1244" w:type="dxa"/>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по договорам на РСВ и БР</w:t>
            </w:r>
          </w:p>
        </w:tc>
        <w:tc>
          <w:tcPr>
            <w:tcW w:w="1426" w:type="dxa"/>
            <w:vMerge w:val="restart"/>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по договорам КОМ, ДПМ, ДПМ АЭС/ГЭС, ДПМ ВИЭ, ВР</w:t>
            </w:r>
          </w:p>
        </w:tc>
        <w:tc>
          <w:tcPr>
            <w:tcW w:w="1015" w:type="dxa"/>
            <w:vMerge w:val="restart"/>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Итого покуп</w:t>
            </w:r>
            <w:r w:rsidR="0014448B">
              <w:rPr>
                <w:sz w:val="22"/>
              </w:rPr>
              <w:t>-</w:t>
            </w:r>
            <w:r w:rsidRPr="0014448B">
              <w:rPr>
                <w:sz w:val="22"/>
              </w:rPr>
              <w:t>ка на ОРЭМ</w:t>
            </w: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1276"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r>
      <w:tr w:rsidR="00AD1F84" w:rsidRPr="0014448B" w:rsidTr="0014448B">
        <w:trPr>
          <w:trHeight w:val="551"/>
        </w:trPr>
        <w:tc>
          <w:tcPr>
            <w:tcW w:w="1597"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798" w:type="dxa"/>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э/э</w:t>
            </w:r>
          </w:p>
        </w:tc>
        <w:tc>
          <w:tcPr>
            <w:tcW w:w="866" w:type="dxa"/>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мощность</w:t>
            </w:r>
          </w:p>
        </w:tc>
        <w:tc>
          <w:tcPr>
            <w:tcW w:w="1244" w:type="dxa"/>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pPr>
              <w:spacing w:line="276" w:lineRule="auto"/>
              <w:jc w:val="center"/>
              <w:rPr>
                <w:sz w:val="22"/>
              </w:rPr>
            </w:pPr>
            <w:r w:rsidRPr="0014448B">
              <w:rPr>
                <w:sz w:val="22"/>
              </w:rPr>
              <w:t>э/э</w:t>
            </w:r>
          </w:p>
        </w:tc>
        <w:tc>
          <w:tcPr>
            <w:tcW w:w="1426"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1015"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1418"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c>
          <w:tcPr>
            <w:tcW w:w="1276" w:type="dxa"/>
            <w:vMerge/>
            <w:tcBorders>
              <w:top w:val="single" w:sz="4" w:space="0" w:color="auto"/>
              <w:left w:val="single" w:sz="4" w:space="0" w:color="auto"/>
              <w:bottom w:val="single" w:sz="4" w:space="0" w:color="auto"/>
              <w:right w:val="single" w:sz="4" w:space="0" w:color="auto"/>
            </w:tcBorders>
            <w:vAlign w:val="center"/>
            <w:hideMark/>
          </w:tcPr>
          <w:p w:rsidR="00AD1F84" w:rsidRPr="0014448B" w:rsidRDefault="00AD1F84" w:rsidP="002F2EE5"/>
        </w:tc>
      </w:tr>
      <w:tr w:rsidR="00AD1F84" w:rsidRPr="0014448B" w:rsidTr="0014448B">
        <w:tc>
          <w:tcPr>
            <w:tcW w:w="15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sz w:val="22"/>
                <w:szCs w:val="22"/>
              </w:rPr>
            </w:pPr>
            <w:r w:rsidRPr="00967BDC">
              <w:rPr>
                <w:sz w:val="22"/>
                <w:szCs w:val="22"/>
              </w:rPr>
              <w:t>2012 год</w:t>
            </w:r>
          </w:p>
        </w:tc>
        <w:tc>
          <w:tcPr>
            <w:tcW w:w="79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607,8</w:t>
            </w:r>
          </w:p>
        </w:tc>
        <w:tc>
          <w:tcPr>
            <w:tcW w:w="86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504,2</w:t>
            </w:r>
          </w:p>
        </w:tc>
        <w:tc>
          <w:tcPr>
            <w:tcW w:w="1244"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108,1</w:t>
            </w:r>
          </w:p>
        </w:tc>
        <w:tc>
          <w:tcPr>
            <w:tcW w:w="142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0,3</w:t>
            </w:r>
          </w:p>
        </w:tc>
        <w:tc>
          <w:tcPr>
            <w:tcW w:w="101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1220,4</w:t>
            </w:r>
          </w:p>
        </w:tc>
        <w:tc>
          <w:tcPr>
            <w:tcW w:w="141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20,8</w:t>
            </w:r>
          </w:p>
        </w:tc>
        <w:tc>
          <w:tcPr>
            <w:tcW w:w="127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1241,2</w:t>
            </w:r>
          </w:p>
        </w:tc>
      </w:tr>
      <w:tr w:rsidR="00AD1F84" w:rsidRPr="0014448B" w:rsidTr="0014448B">
        <w:tc>
          <w:tcPr>
            <w:tcW w:w="15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sz w:val="22"/>
                <w:szCs w:val="22"/>
              </w:rPr>
            </w:pPr>
            <w:r w:rsidRPr="00967BDC">
              <w:rPr>
                <w:sz w:val="22"/>
                <w:szCs w:val="22"/>
              </w:rPr>
              <w:t>2013 год</w:t>
            </w:r>
          </w:p>
        </w:tc>
        <w:tc>
          <w:tcPr>
            <w:tcW w:w="79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718,1</w:t>
            </w:r>
          </w:p>
        </w:tc>
        <w:tc>
          <w:tcPr>
            <w:tcW w:w="86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547,3</w:t>
            </w:r>
          </w:p>
        </w:tc>
        <w:tc>
          <w:tcPr>
            <w:tcW w:w="1244"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100,6</w:t>
            </w:r>
          </w:p>
        </w:tc>
        <w:tc>
          <w:tcPr>
            <w:tcW w:w="142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1,5</w:t>
            </w:r>
          </w:p>
        </w:tc>
        <w:tc>
          <w:tcPr>
            <w:tcW w:w="101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1367,5</w:t>
            </w:r>
          </w:p>
        </w:tc>
        <w:tc>
          <w:tcPr>
            <w:tcW w:w="141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21,9</w:t>
            </w:r>
          </w:p>
        </w:tc>
        <w:tc>
          <w:tcPr>
            <w:tcW w:w="127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1389,4</w:t>
            </w:r>
          </w:p>
        </w:tc>
      </w:tr>
      <w:tr w:rsidR="00AD1F84" w:rsidRPr="0014448B" w:rsidTr="0014448B">
        <w:tc>
          <w:tcPr>
            <w:tcW w:w="15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sz w:val="22"/>
                <w:szCs w:val="22"/>
              </w:rPr>
            </w:pPr>
            <w:r w:rsidRPr="00967BDC">
              <w:rPr>
                <w:sz w:val="22"/>
                <w:szCs w:val="22"/>
              </w:rPr>
              <w:t>откл. 2013/2012, млн.руб./(%)</w:t>
            </w:r>
          </w:p>
        </w:tc>
        <w:tc>
          <w:tcPr>
            <w:tcW w:w="79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110,3</w:t>
            </w:r>
          </w:p>
          <w:p w:rsidR="00AD1F84" w:rsidRPr="00967BDC" w:rsidRDefault="00AD1F84" w:rsidP="002F2EE5">
            <w:pPr>
              <w:jc w:val="center"/>
              <w:rPr>
                <w:sz w:val="22"/>
                <w:szCs w:val="22"/>
                <w:lang w:eastAsia="en-US"/>
              </w:rPr>
            </w:pPr>
            <w:r w:rsidRPr="00967BDC">
              <w:rPr>
                <w:sz w:val="22"/>
                <w:szCs w:val="22"/>
                <w:lang w:eastAsia="en-US"/>
              </w:rPr>
              <w:t xml:space="preserve">18,2 </w:t>
            </w:r>
          </w:p>
        </w:tc>
        <w:tc>
          <w:tcPr>
            <w:tcW w:w="86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43,1</w:t>
            </w:r>
          </w:p>
          <w:p w:rsidR="00AD1F84" w:rsidRPr="00967BDC" w:rsidRDefault="00AD1F84" w:rsidP="002F2EE5">
            <w:pPr>
              <w:jc w:val="center"/>
              <w:rPr>
                <w:sz w:val="22"/>
                <w:szCs w:val="22"/>
                <w:lang w:eastAsia="en-US"/>
              </w:rPr>
            </w:pPr>
            <w:r w:rsidRPr="00967BDC">
              <w:rPr>
                <w:sz w:val="22"/>
                <w:szCs w:val="22"/>
                <w:lang w:eastAsia="en-US"/>
              </w:rPr>
              <w:t>8,5</w:t>
            </w:r>
          </w:p>
        </w:tc>
        <w:tc>
          <w:tcPr>
            <w:tcW w:w="1244"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-7,5</w:t>
            </w:r>
          </w:p>
          <w:p w:rsidR="00AD1F84" w:rsidRPr="00967BDC" w:rsidRDefault="00AD1F84" w:rsidP="002F2EE5">
            <w:pPr>
              <w:jc w:val="center"/>
              <w:rPr>
                <w:sz w:val="22"/>
                <w:szCs w:val="22"/>
                <w:lang w:eastAsia="en-US"/>
              </w:rPr>
            </w:pPr>
            <w:r w:rsidRPr="00967BDC">
              <w:rPr>
                <w:sz w:val="22"/>
                <w:szCs w:val="22"/>
                <w:lang w:eastAsia="en-US"/>
              </w:rPr>
              <w:t>-6,9</w:t>
            </w:r>
          </w:p>
        </w:tc>
        <w:tc>
          <w:tcPr>
            <w:tcW w:w="142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1,2</w:t>
            </w:r>
          </w:p>
          <w:p w:rsidR="00AD1F84" w:rsidRPr="00967BDC" w:rsidRDefault="00AD1F84" w:rsidP="002F2EE5">
            <w:pPr>
              <w:jc w:val="center"/>
              <w:rPr>
                <w:sz w:val="22"/>
                <w:szCs w:val="22"/>
                <w:lang w:eastAsia="en-US"/>
              </w:rPr>
            </w:pPr>
            <w:r w:rsidRPr="00967BDC">
              <w:rPr>
                <w:sz w:val="22"/>
                <w:szCs w:val="22"/>
                <w:lang w:eastAsia="en-US"/>
              </w:rPr>
              <w:t>400,0</w:t>
            </w:r>
          </w:p>
        </w:tc>
        <w:tc>
          <w:tcPr>
            <w:tcW w:w="101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147,1</w:t>
            </w:r>
          </w:p>
          <w:p w:rsidR="00AD1F84" w:rsidRPr="00967BDC" w:rsidRDefault="00AD1F84" w:rsidP="002F2EE5">
            <w:pPr>
              <w:jc w:val="center"/>
              <w:rPr>
                <w:sz w:val="22"/>
                <w:szCs w:val="22"/>
                <w:lang w:eastAsia="en-US"/>
              </w:rPr>
            </w:pPr>
            <w:r w:rsidRPr="00967BDC">
              <w:rPr>
                <w:sz w:val="22"/>
                <w:szCs w:val="22"/>
                <w:lang w:eastAsia="en-US"/>
              </w:rPr>
              <w:t>12,1</w:t>
            </w:r>
          </w:p>
        </w:tc>
        <w:tc>
          <w:tcPr>
            <w:tcW w:w="141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1,1</w:t>
            </w:r>
          </w:p>
          <w:p w:rsidR="00AD1F84" w:rsidRPr="00967BDC" w:rsidRDefault="00AD1F84" w:rsidP="002F2EE5">
            <w:pPr>
              <w:jc w:val="center"/>
              <w:rPr>
                <w:sz w:val="22"/>
                <w:szCs w:val="22"/>
                <w:lang w:eastAsia="en-US"/>
              </w:rPr>
            </w:pPr>
            <w:r w:rsidRPr="00967BDC">
              <w:rPr>
                <w:sz w:val="22"/>
                <w:szCs w:val="22"/>
                <w:lang w:eastAsia="en-US"/>
              </w:rPr>
              <w:t>5,3</w:t>
            </w:r>
          </w:p>
        </w:tc>
        <w:tc>
          <w:tcPr>
            <w:tcW w:w="127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lang w:eastAsia="en-US"/>
              </w:rPr>
            </w:pPr>
            <w:r w:rsidRPr="00967BDC">
              <w:rPr>
                <w:sz w:val="22"/>
                <w:szCs w:val="22"/>
                <w:lang w:eastAsia="en-US"/>
              </w:rPr>
              <w:t>148,2</w:t>
            </w:r>
          </w:p>
          <w:p w:rsidR="00AD1F84" w:rsidRPr="00967BDC" w:rsidRDefault="00AD1F84" w:rsidP="002F2EE5">
            <w:pPr>
              <w:jc w:val="center"/>
              <w:rPr>
                <w:sz w:val="22"/>
                <w:szCs w:val="22"/>
                <w:lang w:eastAsia="en-US"/>
              </w:rPr>
            </w:pPr>
            <w:r w:rsidRPr="00967BDC">
              <w:rPr>
                <w:sz w:val="22"/>
                <w:szCs w:val="22"/>
                <w:lang w:eastAsia="en-US"/>
              </w:rPr>
              <w:t>11,9</w:t>
            </w:r>
          </w:p>
        </w:tc>
      </w:tr>
      <w:tr w:rsidR="00AD1F84" w:rsidRPr="0014448B" w:rsidTr="0014448B">
        <w:tc>
          <w:tcPr>
            <w:tcW w:w="15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sz w:val="22"/>
                <w:szCs w:val="22"/>
              </w:rPr>
            </w:pPr>
            <w:r w:rsidRPr="00967BDC">
              <w:rPr>
                <w:sz w:val="22"/>
                <w:szCs w:val="22"/>
              </w:rPr>
              <w:t>2014 год</w:t>
            </w:r>
          </w:p>
        </w:tc>
        <w:tc>
          <w:tcPr>
            <w:tcW w:w="79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804,7</w:t>
            </w:r>
          </w:p>
        </w:tc>
        <w:tc>
          <w:tcPr>
            <w:tcW w:w="86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594,3</w:t>
            </w:r>
          </w:p>
        </w:tc>
        <w:tc>
          <w:tcPr>
            <w:tcW w:w="1244"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172,2</w:t>
            </w:r>
          </w:p>
        </w:tc>
        <w:tc>
          <w:tcPr>
            <w:tcW w:w="142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6,9</w:t>
            </w:r>
          </w:p>
        </w:tc>
        <w:tc>
          <w:tcPr>
            <w:tcW w:w="101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1578,1</w:t>
            </w:r>
          </w:p>
        </w:tc>
        <w:tc>
          <w:tcPr>
            <w:tcW w:w="141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22,6</w:t>
            </w:r>
          </w:p>
        </w:tc>
        <w:tc>
          <w:tcPr>
            <w:tcW w:w="127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1600,7</w:t>
            </w:r>
          </w:p>
        </w:tc>
      </w:tr>
      <w:tr w:rsidR="00AD1F84" w:rsidRPr="0014448B" w:rsidTr="0014448B">
        <w:tc>
          <w:tcPr>
            <w:tcW w:w="1597" w:type="dxa"/>
            <w:tcBorders>
              <w:top w:val="single" w:sz="4" w:space="0" w:color="auto"/>
              <w:left w:val="single" w:sz="4" w:space="0" w:color="auto"/>
              <w:bottom w:val="single" w:sz="4" w:space="0" w:color="auto"/>
              <w:right w:val="single" w:sz="4" w:space="0" w:color="auto"/>
            </w:tcBorders>
            <w:vAlign w:val="center"/>
            <w:hideMark/>
          </w:tcPr>
          <w:p w:rsidR="00AD1F84" w:rsidRPr="00967BDC" w:rsidRDefault="00AD1F84" w:rsidP="002F2EE5">
            <w:pPr>
              <w:spacing w:line="276" w:lineRule="auto"/>
              <w:jc w:val="center"/>
              <w:rPr>
                <w:sz w:val="22"/>
                <w:szCs w:val="22"/>
              </w:rPr>
            </w:pPr>
            <w:r w:rsidRPr="00967BDC">
              <w:rPr>
                <w:sz w:val="22"/>
                <w:szCs w:val="22"/>
              </w:rPr>
              <w:t>откл. 2014/2013, млн.руб./(%)</w:t>
            </w:r>
          </w:p>
        </w:tc>
        <w:tc>
          <w:tcPr>
            <w:tcW w:w="79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86,6</w:t>
            </w:r>
          </w:p>
          <w:p w:rsidR="00AD1F84" w:rsidRPr="00967BDC" w:rsidRDefault="00AD1F84" w:rsidP="002F2EE5">
            <w:pPr>
              <w:jc w:val="center"/>
              <w:rPr>
                <w:sz w:val="22"/>
                <w:szCs w:val="22"/>
              </w:rPr>
            </w:pPr>
            <w:r w:rsidRPr="00967BDC">
              <w:rPr>
                <w:sz w:val="22"/>
                <w:szCs w:val="22"/>
              </w:rPr>
              <w:t>12,1</w:t>
            </w:r>
          </w:p>
        </w:tc>
        <w:tc>
          <w:tcPr>
            <w:tcW w:w="86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47,0</w:t>
            </w:r>
          </w:p>
          <w:p w:rsidR="00AD1F84" w:rsidRPr="00967BDC" w:rsidRDefault="00AD1F84" w:rsidP="002F2EE5">
            <w:pPr>
              <w:jc w:val="center"/>
              <w:rPr>
                <w:sz w:val="22"/>
                <w:szCs w:val="22"/>
              </w:rPr>
            </w:pPr>
            <w:r w:rsidRPr="00967BDC">
              <w:rPr>
                <w:sz w:val="22"/>
                <w:szCs w:val="22"/>
              </w:rPr>
              <w:t>8,6</w:t>
            </w:r>
          </w:p>
        </w:tc>
        <w:tc>
          <w:tcPr>
            <w:tcW w:w="1244"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71,6</w:t>
            </w:r>
          </w:p>
          <w:p w:rsidR="00AD1F84" w:rsidRPr="00967BDC" w:rsidRDefault="00AD1F84" w:rsidP="002F2EE5">
            <w:pPr>
              <w:jc w:val="center"/>
              <w:rPr>
                <w:sz w:val="22"/>
                <w:szCs w:val="22"/>
              </w:rPr>
            </w:pPr>
            <w:r w:rsidRPr="00967BDC">
              <w:rPr>
                <w:sz w:val="22"/>
                <w:szCs w:val="22"/>
              </w:rPr>
              <w:t>71,2</w:t>
            </w:r>
          </w:p>
        </w:tc>
        <w:tc>
          <w:tcPr>
            <w:tcW w:w="142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5,4</w:t>
            </w:r>
          </w:p>
          <w:p w:rsidR="00AD1F84" w:rsidRPr="00967BDC" w:rsidRDefault="00AD1F84" w:rsidP="002F2EE5">
            <w:pPr>
              <w:jc w:val="center"/>
              <w:rPr>
                <w:sz w:val="22"/>
                <w:szCs w:val="22"/>
              </w:rPr>
            </w:pPr>
            <w:r w:rsidRPr="00967BDC">
              <w:rPr>
                <w:sz w:val="22"/>
                <w:szCs w:val="22"/>
              </w:rPr>
              <w:t>360,0</w:t>
            </w:r>
          </w:p>
        </w:tc>
        <w:tc>
          <w:tcPr>
            <w:tcW w:w="1015"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210,6</w:t>
            </w:r>
          </w:p>
          <w:p w:rsidR="00AD1F84" w:rsidRPr="00967BDC" w:rsidRDefault="00AD1F84" w:rsidP="002F2EE5">
            <w:pPr>
              <w:jc w:val="center"/>
              <w:rPr>
                <w:sz w:val="22"/>
                <w:szCs w:val="22"/>
              </w:rPr>
            </w:pPr>
            <w:r w:rsidRPr="00967BDC">
              <w:rPr>
                <w:sz w:val="22"/>
                <w:szCs w:val="22"/>
              </w:rPr>
              <w:t>15,4</w:t>
            </w:r>
          </w:p>
        </w:tc>
        <w:tc>
          <w:tcPr>
            <w:tcW w:w="1418"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0,7</w:t>
            </w:r>
          </w:p>
          <w:p w:rsidR="00AD1F84" w:rsidRPr="00967BDC" w:rsidRDefault="00AD1F84" w:rsidP="002F2EE5">
            <w:pPr>
              <w:jc w:val="center"/>
              <w:rPr>
                <w:sz w:val="22"/>
                <w:szCs w:val="22"/>
              </w:rPr>
            </w:pPr>
            <w:r w:rsidRPr="00967BDC">
              <w:rPr>
                <w:sz w:val="22"/>
                <w:szCs w:val="22"/>
              </w:rPr>
              <w:t>3,2</w:t>
            </w:r>
          </w:p>
        </w:tc>
        <w:tc>
          <w:tcPr>
            <w:tcW w:w="1276" w:type="dxa"/>
            <w:tcBorders>
              <w:top w:val="single" w:sz="4" w:space="0" w:color="auto"/>
              <w:left w:val="single" w:sz="4" w:space="0" w:color="auto"/>
              <w:bottom w:val="single" w:sz="4" w:space="0" w:color="auto"/>
              <w:right w:val="single" w:sz="4" w:space="0" w:color="auto"/>
            </w:tcBorders>
            <w:vAlign w:val="center"/>
          </w:tcPr>
          <w:p w:rsidR="00AD1F84" w:rsidRPr="00967BDC" w:rsidRDefault="00AD1F84" w:rsidP="002F2EE5">
            <w:pPr>
              <w:jc w:val="center"/>
              <w:rPr>
                <w:sz w:val="22"/>
                <w:szCs w:val="22"/>
              </w:rPr>
            </w:pPr>
            <w:r w:rsidRPr="00967BDC">
              <w:rPr>
                <w:sz w:val="22"/>
                <w:szCs w:val="22"/>
              </w:rPr>
              <w:t>211,3</w:t>
            </w:r>
          </w:p>
          <w:p w:rsidR="00AD1F84" w:rsidRPr="00967BDC" w:rsidRDefault="00AD1F84" w:rsidP="002F2EE5">
            <w:pPr>
              <w:jc w:val="center"/>
              <w:rPr>
                <w:sz w:val="22"/>
                <w:szCs w:val="22"/>
              </w:rPr>
            </w:pPr>
            <w:r w:rsidRPr="00967BDC">
              <w:rPr>
                <w:sz w:val="22"/>
                <w:szCs w:val="22"/>
              </w:rPr>
              <w:t>15,2</w:t>
            </w:r>
          </w:p>
        </w:tc>
      </w:tr>
    </w:tbl>
    <w:p w:rsidR="009A7A52" w:rsidRDefault="009A7A52" w:rsidP="0014448B">
      <w:pPr>
        <w:ind w:firstLine="720"/>
        <w:jc w:val="both"/>
        <w:rPr>
          <w:rFonts w:eastAsia="Calibri"/>
          <w:lang w:eastAsia="en-US"/>
        </w:rPr>
      </w:pPr>
    </w:p>
    <w:p w:rsidR="00AD1F84" w:rsidRDefault="00AD1F84" w:rsidP="0014448B">
      <w:pPr>
        <w:ind w:firstLine="720"/>
        <w:jc w:val="both"/>
        <w:rPr>
          <w:rFonts w:eastAsia="Calibri"/>
          <w:lang w:eastAsia="en-US"/>
        </w:rPr>
      </w:pPr>
      <w:r>
        <w:rPr>
          <w:rFonts w:eastAsia="Calibri"/>
          <w:lang w:eastAsia="en-US"/>
        </w:rPr>
        <w:t>В свою очередь, с</w:t>
      </w:r>
      <w:r w:rsidRPr="00C71373">
        <w:rPr>
          <w:rFonts w:eastAsia="Calibri"/>
          <w:lang w:eastAsia="en-US"/>
        </w:rPr>
        <w:t xml:space="preserve">тоимость продажи электроэнергии на ОРЭМ в 2014 году составила </w:t>
      </w:r>
      <w:r>
        <w:rPr>
          <w:rFonts w:eastAsia="Calibri"/>
          <w:lang w:eastAsia="en-US"/>
        </w:rPr>
        <w:t>76,9</w:t>
      </w:r>
      <w:r w:rsidRPr="00C71373">
        <w:rPr>
          <w:rFonts w:eastAsia="Calibri"/>
          <w:lang w:eastAsia="en-US"/>
        </w:rPr>
        <w:t xml:space="preserve"> млн. руб., а в 2013 году </w:t>
      </w:r>
      <w:r>
        <w:rPr>
          <w:rFonts w:eastAsia="Calibri"/>
          <w:lang w:eastAsia="en-US"/>
        </w:rPr>
        <w:t>90,3</w:t>
      </w:r>
      <w:r w:rsidRPr="00C71373">
        <w:rPr>
          <w:rFonts w:eastAsia="Calibri"/>
          <w:lang w:eastAsia="en-US"/>
        </w:rPr>
        <w:t xml:space="preserve"> млн. руб.</w:t>
      </w:r>
    </w:p>
    <w:p w:rsidR="00AD1F84" w:rsidRDefault="00AD1F84" w:rsidP="0014448B">
      <w:pPr>
        <w:jc w:val="both"/>
        <w:rPr>
          <w:rFonts w:eastAsia="Calibri"/>
          <w:lang w:eastAsia="en-US"/>
        </w:rPr>
      </w:pPr>
    </w:p>
    <w:p w:rsidR="00AD1F84" w:rsidRPr="004A1E12" w:rsidRDefault="00AD1F84" w:rsidP="00AE0E97">
      <w:pPr>
        <w:pStyle w:val="a9"/>
        <w:numPr>
          <w:ilvl w:val="2"/>
          <w:numId w:val="17"/>
        </w:numPr>
        <w:jc w:val="center"/>
        <w:rPr>
          <w:rFonts w:eastAsia="Calibri"/>
          <w:b/>
          <w:sz w:val="28"/>
          <w:lang w:eastAsia="en-US"/>
        </w:rPr>
      </w:pPr>
      <w:r w:rsidRPr="004A1E12">
        <w:rPr>
          <w:rFonts w:eastAsia="Calibri"/>
          <w:b/>
          <w:sz w:val="28"/>
          <w:lang w:eastAsia="en-US"/>
        </w:rPr>
        <w:t>Динамик</w:t>
      </w:r>
      <w:r w:rsidR="0014448B" w:rsidRPr="004A1E12">
        <w:rPr>
          <w:rFonts w:eastAsia="Calibri"/>
          <w:b/>
          <w:sz w:val="28"/>
          <w:lang w:eastAsia="en-US"/>
        </w:rPr>
        <w:t>а</w:t>
      </w:r>
      <w:r w:rsidRPr="004A1E12">
        <w:rPr>
          <w:rFonts w:eastAsia="Calibri"/>
          <w:b/>
          <w:sz w:val="28"/>
          <w:lang w:eastAsia="en-US"/>
        </w:rPr>
        <w:t xml:space="preserve"> расчетов </w:t>
      </w:r>
      <w:r w:rsidR="00F06EDF" w:rsidRPr="004A1E12">
        <w:rPr>
          <w:rFonts w:eastAsia="Calibri"/>
          <w:b/>
          <w:sz w:val="28"/>
          <w:lang w:eastAsia="en-US"/>
        </w:rPr>
        <w:t xml:space="preserve">общества </w:t>
      </w:r>
      <w:r w:rsidRPr="004A1E12">
        <w:rPr>
          <w:rFonts w:eastAsia="Calibri"/>
          <w:b/>
          <w:sz w:val="28"/>
          <w:lang w:eastAsia="en-US"/>
        </w:rPr>
        <w:t>с поставщиками электрической энергии и мощности на ОРЭМ в 2012-2014 гг.</w:t>
      </w:r>
    </w:p>
    <w:p w:rsidR="00AD1F84" w:rsidRPr="00233A3F" w:rsidRDefault="00AD1F84" w:rsidP="0014448B">
      <w:pPr>
        <w:ind w:left="720"/>
        <w:jc w:val="both"/>
        <w:rPr>
          <w:rFonts w:eastAsia="Calibri"/>
          <w:lang w:eastAsia="en-US"/>
        </w:rPr>
      </w:pPr>
    </w:p>
    <w:p w:rsidR="00AD1F84" w:rsidRPr="009A7A52" w:rsidRDefault="00AD1F84" w:rsidP="0014448B">
      <w:pPr>
        <w:jc w:val="center"/>
        <w:rPr>
          <w:b/>
        </w:rPr>
      </w:pPr>
      <w:r w:rsidRPr="009A7A52">
        <w:rPr>
          <w:b/>
        </w:rPr>
        <w:t>Динамика расчетов с поставщиками электрической энергии и мощности на ОРЭМ в 2012</w:t>
      </w:r>
      <w:r w:rsidRPr="009A7A52">
        <w:rPr>
          <w:b/>
        </w:rPr>
        <w:noBreakHyphen/>
        <w:t>2014 гг., млн. руб. с учетом НДС</w:t>
      </w:r>
    </w:p>
    <w:tbl>
      <w:tblPr>
        <w:tblW w:w="963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0"/>
        <w:gridCol w:w="1070"/>
        <w:gridCol w:w="1070"/>
        <w:gridCol w:w="1070"/>
        <w:gridCol w:w="1071"/>
        <w:gridCol w:w="1070"/>
        <w:gridCol w:w="1070"/>
        <w:gridCol w:w="1070"/>
        <w:gridCol w:w="1071"/>
      </w:tblGrid>
      <w:tr w:rsidR="00AD1F84" w:rsidRPr="004531D0" w:rsidTr="002F2EE5">
        <w:trPr>
          <w:trHeight w:val="284"/>
        </w:trPr>
        <w:tc>
          <w:tcPr>
            <w:tcW w:w="321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b/>
                <w:lang w:eastAsia="en-US"/>
              </w:rPr>
            </w:pPr>
            <w:r w:rsidRPr="004531D0">
              <w:rPr>
                <w:rFonts w:eastAsia="Calibri"/>
                <w:b/>
                <w:lang w:eastAsia="en-US"/>
              </w:rPr>
              <w:t>2012 год</w:t>
            </w:r>
          </w:p>
        </w:tc>
        <w:tc>
          <w:tcPr>
            <w:tcW w:w="321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b/>
                <w:lang w:eastAsia="en-US"/>
              </w:rPr>
            </w:pPr>
            <w:r w:rsidRPr="004531D0">
              <w:rPr>
                <w:rFonts w:eastAsia="Calibri"/>
                <w:b/>
                <w:lang w:eastAsia="en-US"/>
              </w:rPr>
              <w:t>2013 год</w:t>
            </w:r>
          </w:p>
        </w:tc>
        <w:tc>
          <w:tcPr>
            <w:tcW w:w="321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b/>
                <w:lang w:eastAsia="en-US"/>
              </w:rPr>
            </w:pPr>
            <w:r w:rsidRPr="004531D0">
              <w:rPr>
                <w:rFonts w:eastAsia="Calibri"/>
                <w:b/>
                <w:lang w:eastAsia="en-US"/>
              </w:rPr>
              <w:t>2014 год</w:t>
            </w:r>
          </w:p>
        </w:tc>
      </w:tr>
      <w:tr w:rsidR="00AD1F84" w:rsidRPr="004531D0" w:rsidTr="002F2EE5">
        <w:trPr>
          <w:trHeight w:val="284"/>
        </w:trPr>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Обяз-ва</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Оплата</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 xml:space="preserve">% </w:t>
            </w:r>
            <w:r w:rsidRPr="004531D0">
              <w:rPr>
                <w:rFonts w:eastAsia="Calibri"/>
                <w:lang w:eastAsia="en-US"/>
              </w:rPr>
              <w:lastRenderedPageBreak/>
              <w:t>оплаты</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lastRenderedPageBreak/>
              <w:t>Обяз-ва</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Оплата</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 xml:space="preserve">% </w:t>
            </w:r>
            <w:r w:rsidRPr="004531D0">
              <w:rPr>
                <w:rFonts w:eastAsia="Calibri"/>
                <w:lang w:eastAsia="en-US"/>
              </w:rPr>
              <w:lastRenderedPageBreak/>
              <w:t>оплаты</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lastRenderedPageBreak/>
              <w:t>Обяз-ва</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Оплата</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4531D0" w:rsidRDefault="00AD1F84" w:rsidP="002F2EE5">
            <w:pPr>
              <w:jc w:val="center"/>
              <w:rPr>
                <w:rFonts w:eastAsia="Calibri"/>
                <w:lang w:eastAsia="en-US"/>
              </w:rPr>
            </w:pPr>
            <w:r w:rsidRPr="004531D0">
              <w:rPr>
                <w:rFonts w:eastAsia="Calibri"/>
                <w:lang w:eastAsia="en-US"/>
              </w:rPr>
              <w:t xml:space="preserve">% </w:t>
            </w:r>
            <w:r w:rsidRPr="004531D0">
              <w:rPr>
                <w:rFonts w:eastAsia="Calibri"/>
                <w:lang w:eastAsia="en-US"/>
              </w:rPr>
              <w:lastRenderedPageBreak/>
              <w:t>оплаты</w:t>
            </w:r>
          </w:p>
        </w:tc>
      </w:tr>
      <w:tr w:rsidR="00AD1F84" w:rsidRPr="004531D0" w:rsidTr="002F2EE5">
        <w:trPr>
          <w:trHeight w:val="284"/>
        </w:trPr>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lastRenderedPageBreak/>
              <w:t>1220,4</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1353,6</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110,9</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1367,5</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1505,0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110,1</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1578,1</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1590,7</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A7A52" w:rsidRDefault="00AD1F84" w:rsidP="002F2EE5">
            <w:pPr>
              <w:jc w:val="center"/>
            </w:pPr>
            <w:r w:rsidRPr="009A7A52">
              <w:t>100,8</w:t>
            </w:r>
          </w:p>
        </w:tc>
      </w:tr>
    </w:tbl>
    <w:p w:rsidR="00FC4958" w:rsidRDefault="00FC4958" w:rsidP="00FC4958">
      <w:pPr>
        <w:spacing w:line="276" w:lineRule="auto"/>
        <w:ind w:firstLine="720"/>
        <w:jc w:val="both"/>
      </w:pPr>
    </w:p>
    <w:p w:rsidR="00FC4958" w:rsidRDefault="00FC4958" w:rsidP="00FC4958">
      <w:pPr>
        <w:spacing w:line="276" w:lineRule="auto"/>
        <w:ind w:firstLine="720"/>
        <w:jc w:val="both"/>
      </w:pPr>
      <w:r w:rsidRPr="00CB6DF8">
        <w:t>Уровень оплаты обязательств ОАО «</w:t>
      </w:r>
      <w:r>
        <w:t>Каббалкэнерго</w:t>
      </w:r>
      <w:r w:rsidRPr="00CB6DF8">
        <w:t>» за поставленную электроэнергию и мощность на ОРЭМ в 2014 году составил 100,8%.</w:t>
      </w:r>
    </w:p>
    <w:p w:rsidR="00AD1F84" w:rsidRDefault="00AD1F84" w:rsidP="006D208B">
      <w:pPr>
        <w:spacing w:line="276" w:lineRule="auto"/>
        <w:ind w:left="720" w:hanging="356"/>
        <w:jc w:val="center"/>
        <w:rPr>
          <w:rFonts w:eastAsia="Calibri"/>
          <w:sz w:val="20"/>
          <w:szCs w:val="20"/>
          <w:lang w:eastAsia="en-US"/>
        </w:rPr>
      </w:pPr>
      <w:r>
        <w:rPr>
          <w:rFonts w:eastAsia="Calibri"/>
          <w:noProof/>
          <w:sz w:val="20"/>
          <w:szCs w:val="20"/>
        </w:rPr>
        <w:drawing>
          <wp:inline distT="0" distB="0" distL="0" distR="0" wp14:anchorId="5692FD64" wp14:editId="600FD412">
            <wp:extent cx="5883215" cy="2104845"/>
            <wp:effectExtent l="0" t="0" r="22860" b="10160"/>
            <wp:docPr id="16" name="Диаграмма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D1F84" w:rsidRDefault="009A7A52" w:rsidP="00AD1F84">
      <w:pPr>
        <w:spacing w:line="276" w:lineRule="auto"/>
        <w:ind w:firstLine="360"/>
        <w:jc w:val="center"/>
      </w:pPr>
      <w:r>
        <w:rPr>
          <w:rFonts w:eastAsia="Calibri"/>
          <w:lang w:eastAsia="en-US"/>
        </w:rPr>
        <w:t>Диаграмма.</w:t>
      </w:r>
      <w:r w:rsidR="00AD1F84" w:rsidRPr="003A1500">
        <w:rPr>
          <w:rFonts w:eastAsia="Calibri"/>
          <w:lang w:eastAsia="en-US"/>
        </w:rPr>
        <w:t xml:space="preserve"> Динамика </w:t>
      </w:r>
      <w:r w:rsidR="00AD1F84" w:rsidRPr="003A1500">
        <w:t>расчетов с поставщиками электрической энергии и мощности на ОРЭМ в 2012</w:t>
      </w:r>
      <w:r w:rsidR="00AD1F84" w:rsidRPr="003A1500">
        <w:noBreakHyphen/>
        <w:t>2014 гг.</w:t>
      </w:r>
    </w:p>
    <w:p w:rsidR="00AD1F84" w:rsidRPr="004A1E12" w:rsidRDefault="00967BDC" w:rsidP="00967BDC">
      <w:pPr>
        <w:spacing w:line="276" w:lineRule="auto"/>
        <w:jc w:val="center"/>
        <w:rPr>
          <w:rFonts w:eastAsia="Calibri"/>
          <w:b/>
          <w:sz w:val="28"/>
          <w:lang w:eastAsia="en-US"/>
        </w:rPr>
      </w:pPr>
      <w:r w:rsidRPr="004A1E12">
        <w:rPr>
          <w:rFonts w:eastAsia="Calibri"/>
          <w:b/>
          <w:sz w:val="28"/>
          <w:lang w:eastAsia="en-US"/>
        </w:rPr>
        <w:t>4.1.5</w:t>
      </w:r>
      <w:r w:rsidR="00AD1F84" w:rsidRPr="004A1E12">
        <w:rPr>
          <w:rFonts w:eastAsia="Calibri"/>
          <w:b/>
          <w:sz w:val="28"/>
          <w:lang w:eastAsia="en-US"/>
        </w:rPr>
        <w:tab/>
        <w:t xml:space="preserve">Исполнение контрольных показателей оплаты </w:t>
      </w:r>
      <w:r w:rsidR="00F06EDF" w:rsidRPr="004A1E12">
        <w:rPr>
          <w:rFonts w:eastAsia="Calibri"/>
          <w:b/>
          <w:sz w:val="28"/>
          <w:lang w:eastAsia="en-US"/>
        </w:rPr>
        <w:t xml:space="preserve">обществом </w:t>
      </w:r>
      <w:r w:rsidR="00AD1F84" w:rsidRPr="004A1E12">
        <w:rPr>
          <w:rFonts w:eastAsia="Calibri"/>
          <w:b/>
          <w:sz w:val="28"/>
          <w:lang w:eastAsia="en-US"/>
        </w:rPr>
        <w:t>на ОРЭМ</w:t>
      </w:r>
      <w:r w:rsidR="00F06EDF" w:rsidRPr="004A1E12">
        <w:rPr>
          <w:rFonts w:eastAsia="Calibri"/>
          <w:b/>
          <w:sz w:val="28"/>
          <w:lang w:eastAsia="en-US"/>
        </w:rPr>
        <w:t xml:space="preserve"> в 2014 г.</w:t>
      </w:r>
    </w:p>
    <w:p w:rsidR="00AD1F84" w:rsidRDefault="00AD1F84" w:rsidP="00AD1F84">
      <w:pPr>
        <w:spacing w:line="276" w:lineRule="auto"/>
        <w:ind w:left="720" w:hanging="356"/>
        <w:jc w:val="center"/>
        <w:rPr>
          <w:sz w:val="20"/>
          <w:szCs w:val="20"/>
        </w:rPr>
      </w:pPr>
    </w:p>
    <w:p w:rsidR="00AD1F84" w:rsidRDefault="00AD1F84" w:rsidP="00AD1F84">
      <w:pPr>
        <w:spacing w:line="276" w:lineRule="auto"/>
        <w:ind w:left="720" w:hanging="356"/>
        <w:jc w:val="center"/>
        <w:rPr>
          <w:b/>
        </w:rPr>
      </w:pPr>
      <w:r w:rsidRPr="00967BDC">
        <w:rPr>
          <w:b/>
        </w:rPr>
        <w:t>Исполнение контрольных пока</w:t>
      </w:r>
      <w:r w:rsidR="00967BDC">
        <w:rPr>
          <w:b/>
        </w:rPr>
        <w:t>зателей оплаты на ОРЭМ в 2014 году</w:t>
      </w:r>
    </w:p>
    <w:p w:rsidR="00967BDC" w:rsidRPr="00967BDC" w:rsidRDefault="00967BDC" w:rsidP="00AD1F84">
      <w:pPr>
        <w:spacing w:line="276" w:lineRule="auto"/>
        <w:ind w:left="720" w:hanging="356"/>
        <w:jc w:val="center"/>
        <w:rPr>
          <w:b/>
          <w:sz w:val="8"/>
        </w:rPr>
      </w:pPr>
    </w:p>
    <w:tbl>
      <w:tblPr>
        <w:tblW w:w="96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1417"/>
        <w:gridCol w:w="1418"/>
        <w:gridCol w:w="1417"/>
        <w:gridCol w:w="1418"/>
        <w:gridCol w:w="1296"/>
      </w:tblGrid>
      <w:tr w:rsidR="00AD1F84" w:rsidRPr="009F5B67" w:rsidTr="002F2EE5">
        <w:tc>
          <w:tcPr>
            <w:tcW w:w="2694" w:type="dxa"/>
            <w:tcBorders>
              <w:top w:val="single" w:sz="4" w:space="0" w:color="auto"/>
              <w:left w:val="single" w:sz="4" w:space="0" w:color="auto"/>
              <w:bottom w:val="single" w:sz="4" w:space="0" w:color="auto"/>
              <w:right w:val="single" w:sz="4" w:space="0" w:color="auto"/>
            </w:tcBorders>
            <w:shd w:val="clear" w:color="auto" w:fill="auto"/>
          </w:tcPr>
          <w:p w:rsidR="00AD1F84" w:rsidRPr="009F5B67" w:rsidRDefault="00AD1F84" w:rsidP="002F2EE5">
            <w:pPr>
              <w:jc w:val="center"/>
              <w:rPr>
                <w:rFonts w:eastAsia="Calibri"/>
                <w:lang w:eastAsia="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9F5B67" w:rsidRDefault="00AD1F84" w:rsidP="002F2EE5">
            <w:pPr>
              <w:jc w:val="center"/>
              <w:rPr>
                <w:rFonts w:eastAsia="Calibri"/>
                <w:b/>
                <w:lang w:eastAsia="en-US"/>
              </w:rPr>
            </w:pPr>
            <w:r w:rsidRPr="009F5B67">
              <w:rPr>
                <w:rFonts w:eastAsia="Calibri"/>
                <w:b/>
                <w:lang w:eastAsia="en-US"/>
              </w:rPr>
              <w:t>1 квартал 2014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9F5B67" w:rsidRDefault="00AD1F84" w:rsidP="002F2EE5">
            <w:pPr>
              <w:jc w:val="center"/>
              <w:rPr>
                <w:rFonts w:eastAsia="Calibri"/>
                <w:b/>
                <w:lang w:eastAsia="en-US"/>
              </w:rPr>
            </w:pPr>
            <w:r w:rsidRPr="009F5B67">
              <w:rPr>
                <w:rFonts w:eastAsia="Calibri"/>
                <w:b/>
                <w:lang w:eastAsia="en-US"/>
              </w:rPr>
              <w:t>2 квартал 2014 г.</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9F5B67" w:rsidRDefault="00AD1F84" w:rsidP="002F2EE5">
            <w:pPr>
              <w:jc w:val="center"/>
              <w:rPr>
                <w:rFonts w:eastAsia="Calibri"/>
                <w:b/>
                <w:lang w:eastAsia="en-US"/>
              </w:rPr>
            </w:pPr>
            <w:r w:rsidRPr="009F5B67">
              <w:rPr>
                <w:rFonts w:eastAsia="Calibri"/>
                <w:b/>
                <w:lang w:eastAsia="en-US"/>
              </w:rPr>
              <w:t>3 квартал 2014 г.</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9F5B67" w:rsidRDefault="00AD1F84" w:rsidP="002F2EE5">
            <w:pPr>
              <w:jc w:val="center"/>
              <w:rPr>
                <w:rFonts w:eastAsia="Calibri"/>
                <w:b/>
                <w:lang w:eastAsia="en-US"/>
              </w:rPr>
            </w:pPr>
            <w:r w:rsidRPr="009F5B67">
              <w:rPr>
                <w:rFonts w:eastAsia="Calibri"/>
                <w:b/>
                <w:lang w:eastAsia="en-US"/>
              </w:rPr>
              <w:t>4 квартал 2014 г.</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1F84" w:rsidRPr="009F5B67" w:rsidRDefault="00AD1F84" w:rsidP="002F2EE5">
            <w:pPr>
              <w:jc w:val="center"/>
              <w:rPr>
                <w:rFonts w:eastAsia="Calibri"/>
                <w:b/>
                <w:lang w:eastAsia="en-US"/>
              </w:rPr>
            </w:pPr>
            <w:r w:rsidRPr="009F5B67">
              <w:rPr>
                <w:rFonts w:eastAsia="Calibri"/>
                <w:b/>
                <w:lang w:eastAsia="en-US"/>
              </w:rPr>
              <w:t>2014 год</w:t>
            </w:r>
          </w:p>
        </w:tc>
      </w:tr>
      <w:tr w:rsidR="00AD1F84" w:rsidRPr="009F5B67" w:rsidTr="002F2EE5">
        <w:tc>
          <w:tcPr>
            <w:tcW w:w="2694" w:type="dxa"/>
            <w:tcBorders>
              <w:top w:val="single" w:sz="4" w:space="0" w:color="auto"/>
              <w:left w:val="single" w:sz="4" w:space="0" w:color="auto"/>
              <w:bottom w:val="single" w:sz="4" w:space="0" w:color="auto"/>
              <w:right w:val="single" w:sz="4" w:space="0" w:color="auto"/>
            </w:tcBorders>
            <w:shd w:val="clear" w:color="auto" w:fill="auto"/>
            <w:hideMark/>
          </w:tcPr>
          <w:p w:rsidR="00AD1F84" w:rsidRPr="009F5B67" w:rsidRDefault="00AD1F84" w:rsidP="002F2EE5">
            <w:pPr>
              <w:jc w:val="center"/>
              <w:rPr>
                <w:rFonts w:eastAsia="Calibri"/>
                <w:lang w:eastAsia="en-US"/>
              </w:rPr>
            </w:pPr>
            <w:r w:rsidRPr="009F5B67">
              <w:rPr>
                <w:rFonts w:eastAsia="Calibri"/>
                <w:lang w:eastAsia="en-US"/>
              </w:rPr>
              <w:t>КПО,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100,0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100,0</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rPr>
                <w:bCs/>
              </w:rPr>
            </w:pPr>
            <w:r w:rsidRPr="00967BDC">
              <w:rPr>
                <w:bCs/>
              </w:rPr>
              <w:t>100,0</w:t>
            </w:r>
          </w:p>
        </w:tc>
      </w:tr>
      <w:tr w:rsidR="00AD1F84" w:rsidRPr="009F5B67" w:rsidTr="002F2EE5">
        <w:tc>
          <w:tcPr>
            <w:tcW w:w="2694" w:type="dxa"/>
            <w:tcBorders>
              <w:top w:val="single" w:sz="4" w:space="0" w:color="auto"/>
              <w:left w:val="single" w:sz="4" w:space="0" w:color="auto"/>
              <w:bottom w:val="single" w:sz="4" w:space="0" w:color="auto"/>
              <w:right w:val="single" w:sz="4" w:space="0" w:color="auto"/>
            </w:tcBorders>
            <w:shd w:val="clear" w:color="auto" w:fill="auto"/>
            <w:hideMark/>
          </w:tcPr>
          <w:p w:rsidR="00AD1F84" w:rsidRPr="009F5B67" w:rsidRDefault="00AD1F84" w:rsidP="002F2EE5">
            <w:pPr>
              <w:jc w:val="center"/>
              <w:rPr>
                <w:rFonts w:eastAsia="Calibri"/>
                <w:lang w:eastAsia="en-US"/>
              </w:rPr>
            </w:pPr>
            <w:r w:rsidRPr="009F5B67">
              <w:rPr>
                <w:rFonts w:eastAsia="Calibri"/>
                <w:lang w:eastAsia="en-US"/>
              </w:rPr>
              <w:t>Оплата,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101,0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99,9</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104,8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98,3</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rPr>
                <w:bCs/>
              </w:rPr>
            </w:pPr>
            <w:r w:rsidRPr="00967BDC">
              <w:rPr>
                <w:bCs/>
              </w:rPr>
              <w:t>100,8</w:t>
            </w:r>
          </w:p>
        </w:tc>
      </w:tr>
      <w:tr w:rsidR="00AD1F84" w:rsidRPr="009F5B67" w:rsidTr="002F2EE5">
        <w:tc>
          <w:tcPr>
            <w:tcW w:w="2694" w:type="dxa"/>
            <w:tcBorders>
              <w:top w:val="single" w:sz="4" w:space="0" w:color="auto"/>
              <w:left w:val="single" w:sz="4" w:space="0" w:color="auto"/>
              <w:bottom w:val="single" w:sz="4" w:space="0" w:color="auto"/>
              <w:right w:val="single" w:sz="4" w:space="0" w:color="auto"/>
            </w:tcBorders>
            <w:shd w:val="clear" w:color="auto" w:fill="auto"/>
            <w:hideMark/>
          </w:tcPr>
          <w:p w:rsidR="00AD1F84" w:rsidRPr="009F5B67" w:rsidRDefault="00AD1F84" w:rsidP="002F2EE5">
            <w:pPr>
              <w:spacing w:line="276" w:lineRule="auto"/>
              <w:jc w:val="center"/>
              <w:rPr>
                <w:rFonts w:eastAsia="Calibri"/>
                <w:lang w:eastAsia="en-US"/>
              </w:rPr>
            </w:pPr>
            <w:r w:rsidRPr="009F5B67">
              <w:rPr>
                <w:rFonts w:eastAsia="Calibri"/>
                <w:lang w:eastAsia="en-US"/>
              </w:rPr>
              <w:t>Дельта исполнения/</w:t>
            </w:r>
          </w:p>
          <w:p w:rsidR="00AD1F84" w:rsidRPr="009F5B67" w:rsidRDefault="00AD1F84" w:rsidP="002F2EE5">
            <w:pPr>
              <w:jc w:val="center"/>
              <w:rPr>
                <w:rFonts w:eastAsia="Calibri"/>
                <w:lang w:eastAsia="en-US"/>
              </w:rPr>
            </w:pPr>
            <w:r w:rsidRPr="009F5B67">
              <w:rPr>
                <w:rFonts w:eastAsia="Calibri"/>
                <w:lang w:eastAsia="en-US"/>
              </w:rPr>
              <w:t>неисполнения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1,0</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-0,1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4,8</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pPr>
            <w:r w:rsidRPr="00967BDC">
              <w:t>-1,7</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tcPr>
          <w:p w:rsidR="00AD1F84" w:rsidRPr="00967BDC" w:rsidRDefault="00AD1F84" w:rsidP="002F2EE5">
            <w:pPr>
              <w:jc w:val="center"/>
              <w:rPr>
                <w:bCs/>
              </w:rPr>
            </w:pPr>
            <w:r w:rsidRPr="00967BDC">
              <w:rPr>
                <w:bCs/>
              </w:rPr>
              <w:t>0,8</w:t>
            </w:r>
          </w:p>
        </w:tc>
      </w:tr>
    </w:tbl>
    <w:p w:rsidR="00AD1F84" w:rsidRPr="009F5B67" w:rsidRDefault="00AD1F84" w:rsidP="00AD1F84">
      <w:pPr>
        <w:ind w:firstLine="741"/>
        <w:jc w:val="both"/>
      </w:pPr>
    </w:p>
    <w:p w:rsidR="00AD1F84" w:rsidRPr="00CB6DF8" w:rsidRDefault="00967BDC" w:rsidP="00AD1F84">
      <w:pPr>
        <w:shd w:val="clear" w:color="auto" w:fill="FFFFFF"/>
        <w:ind w:firstLine="741"/>
        <w:jc w:val="both"/>
      </w:pPr>
      <w:r>
        <w:rPr>
          <w:rFonts w:eastAsia="Calibri"/>
          <w:lang w:eastAsia="en-US"/>
        </w:rPr>
        <w:t>Во 2-</w:t>
      </w:r>
      <w:r w:rsidR="00AD1F84">
        <w:rPr>
          <w:rFonts w:eastAsia="Calibri"/>
          <w:lang w:eastAsia="en-US"/>
        </w:rPr>
        <w:t>м и 4-</w:t>
      </w:r>
      <w:r w:rsidR="00AD1F84" w:rsidRPr="00CB6DF8">
        <w:rPr>
          <w:rFonts w:eastAsia="Calibri"/>
          <w:lang w:eastAsia="en-US"/>
        </w:rPr>
        <w:t>м кварталах 2014 года отмечен факт невыполнения контрольных показателей оплаты установленных для ОАО «</w:t>
      </w:r>
      <w:r w:rsidR="00AD1F84">
        <w:rPr>
          <w:rFonts w:eastAsia="Calibri"/>
          <w:lang w:eastAsia="en-US"/>
        </w:rPr>
        <w:t>Кабба</w:t>
      </w:r>
      <w:r>
        <w:rPr>
          <w:rFonts w:eastAsia="Calibri"/>
          <w:lang w:eastAsia="en-US"/>
        </w:rPr>
        <w:t>лкэнерго». В свою очередь, в 1-м и 3-</w:t>
      </w:r>
      <w:r w:rsidR="00AD1F84" w:rsidRPr="00CB6DF8">
        <w:rPr>
          <w:rFonts w:eastAsia="Calibri"/>
          <w:lang w:eastAsia="en-US"/>
        </w:rPr>
        <w:t>м кварталах 2014 года КПО были перевыполнены, что положительно повлияло на выполнение контрольных показателей оплаты в целом за год.</w:t>
      </w:r>
    </w:p>
    <w:p w:rsidR="00AD1F84" w:rsidRDefault="00AD1F84" w:rsidP="00AD1F84">
      <w:pPr>
        <w:spacing w:line="276" w:lineRule="auto"/>
        <w:ind w:left="720" w:hanging="356"/>
        <w:jc w:val="both"/>
        <w:rPr>
          <w:rFonts w:eastAsia="Calibri"/>
          <w:lang w:eastAsia="en-US"/>
        </w:rPr>
      </w:pPr>
    </w:p>
    <w:p w:rsidR="00AD1F84" w:rsidRPr="004A1E12" w:rsidRDefault="00967BDC" w:rsidP="00967BDC">
      <w:pPr>
        <w:spacing w:line="276" w:lineRule="auto"/>
        <w:jc w:val="center"/>
        <w:rPr>
          <w:rFonts w:eastAsia="Calibri"/>
          <w:b/>
          <w:sz w:val="28"/>
          <w:lang w:eastAsia="en-US"/>
        </w:rPr>
      </w:pPr>
      <w:r w:rsidRPr="004A1E12">
        <w:rPr>
          <w:rFonts w:eastAsia="Calibri"/>
          <w:b/>
          <w:sz w:val="28"/>
          <w:lang w:eastAsia="en-US"/>
        </w:rPr>
        <w:t>4.1.6</w:t>
      </w:r>
      <w:r w:rsidR="00AD1F84" w:rsidRPr="004A1E12">
        <w:rPr>
          <w:rFonts w:eastAsia="Calibri"/>
          <w:b/>
          <w:sz w:val="28"/>
          <w:lang w:eastAsia="en-US"/>
        </w:rPr>
        <w:t>.</w:t>
      </w:r>
      <w:r w:rsidR="00AD1F84" w:rsidRPr="004A1E12">
        <w:rPr>
          <w:rFonts w:eastAsia="Calibri"/>
          <w:b/>
          <w:sz w:val="28"/>
          <w:lang w:eastAsia="en-US"/>
        </w:rPr>
        <w:tab/>
      </w:r>
      <w:r w:rsidR="00F06EDF" w:rsidRPr="004A1E12">
        <w:rPr>
          <w:rFonts w:eastAsia="Calibri"/>
          <w:b/>
          <w:sz w:val="28"/>
          <w:lang w:eastAsia="en-US"/>
        </w:rPr>
        <w:t>Анализ деятельности общества на ОРЭМ в 2014 г.</w:t>
      </w:r>
    </w:p>
    <w:p w:rsidR="00AD1F84" w:rsidRPr="004A1E12" w:rsidRDefault="00AD1F84" w:rsidP="00AD1F84">
      <w:pPr>
        <w:ind w:firstLine="708"/>
        <w:jc w:val="both"/>
        <w:rPr>
          <w:sz w:val="28"/>
        </w:rPr>
      </w:pPr>
    </w:p>
    <w:p w:rsidR="00AD1F84" w:rsidRPr="00967BDC" w:rsidRDefault="00AD1F84" w:rsidP="00396190">
      <w:pPr>
        <w:ind w:firstLine="708"/>
        <w:jc w:val="both"/>
      </w:pPr>
      <w:r w:rsidRPr="00967BDC">
        <w:t>В 2014 году в сравнении с 2013 годом наблюдается незначительное увеличение потребления электрической энергии и мощности на 2,8 % и на 2,2 %, соответственно.</w:t>
      </w:r>
    </w:p>
    <w:p w:rsidR="00AD1F84" w:rsidRPr="00967BDC" w:rsidRDefault="00AD1F84" w:rsidP="00396190">
      <w:pPr>
        <w:ind w:firstLine="708"/>
        <w:jc w:val="both"/>
      </w:pPr>
      <w:r w:rsidRPr="00967BDC">
        <w:t>Причиной увеличения энергопотребления является аномально низкая температура в осенне-зимний период 2014 года, что повлекло за собой увеличение потребления электрической энергии различными категориями потребителей розничного рынка.</w:t>
      </w:r>
    </w:p>
    <w:p w:rsidR="00AD1F84" w:rsidRPr="00967BDC" w:rsidRDefault="00AD1F84" w:rsidP="00396190">
      <w:pPr>
        <w:ind w:firstLine="741"/>
        <w:jc w:val="both"/>
      </w:pPr>
      <w:r w:rsidRPr="00967BDC">
        <w:t>Увеличение стоимости покупки электроэнергии и мощности в 2014 году на 15,2 % связано с увеличением цены на покупку электроэнергии на 17,0 % и увеличением цены на покупку мощности на 11,1 %.</w:t>
      </w:r>
    </w:p>
    <w:p w:rsidR="00AD1F84" w:rsidRPr="00967BDC" w:rsidRDefault="00AD1F84" w:rsidP="00396190">
      <w:pPr>
        <w:ind w:firstLine="708"/>
        <w:jc w:val="both"/>
      </w:pPr>
      <w:r w:rsidRPr="00967BDC">
        <w:t>Основные объемы электроэнергии и мощности, заложенные в прогнозном балансе электрической энергии и мощности, в 2014 году были приобретены по регулируемым ценам, в связи с действием в границах зоны деятельности ОАО «Каббалкэнерго» особых условий функционирования оптового рынка электрической энергии и мощности.</w:t>
      </w:r>
    </w:p>
    <w:p w:rsidR="00AD1F84" w:rsidRPr="00967BDC" w:rsidRDefault="00AD1F84" w:rsidP="00396190">
      <w:pPr>
        <w:ind w:firstLine="708"/>
        <w:jc w:val="both"/>
      </w:pPr>
      <w:r w:rsidRPr="00967BDC">
        <w:lastRenderedPageBreak/>
        <w:t>Дальнейшее функционирование ОАО «Каббалкэнерго» в особых условиях окажет положительное влияние на показатели деятельности Общества, как на оптовом, так и на розничном рынках.</w:t>
      </w:r>
    </w:p>
    <w:p w:rsidR="00AD1F84" w:rsidRPr="00967BDC" w:rsidRDefault="00AD1F84" w:rsidP="00396190">
      <w:pPr>
        <w:ind w:firstLine="708"/>
        <w:jc w:val="both"/>
      </w:pPr>
      <w:r w:rsidRPr="00967BDC">
        <w:t>Контрольные показатели оплаты на ОРЭМ, установленные для ОАО «Каббалкэнерго» по итогам 2014 года выполнены. На исполнение годового контрольного показателя оплаты на оптовом рынке повлияли следующие факторы:</w:t>
      </w:r>
    </w:p>
    <w:p w:rsidR="00AD1F84" w:rsidRPr="00967BDC" w:rsidRDefault="00AD1F84" w:rsidP="00396190">
      <w:pPr>
        <w:tabs>
          <w:tab w:val="left" w:pos="1080"/>
        </w:tabs>
        <w:ind w:firstLine="708"/>
        <w:jc w:val="both"/>
      </w:pPr>
      <w:r w:rsidRPr="00967BDC">
        <w:t>•</w:t>
      </w:r>
      <w:r w:rsidRPr="00967BDC">
        <w:tab/>
        <w:t>улучшение платежной дисциплины потребителей розничного рынка;</w:t>
      </w:r>
    </w:p>
    <w:p w:rsidR="00AD1F84" w:rsidRPr="00967BDC" w:rsidRDefault="00AD1F84" w:rsidP="00396190">
      <w:pPr>
        <w:tabs>
          <w:tab w:val="left" w:pos="1080"/>
        </w:tabs>
        <w:ind w:firstLine="708"/>
        <w:jc w:val="both"/>
      </w:pPr>
      <w:r w:rsidRPr="00967BDC">
        <w:t>•</w:t>
      </w:r>
      <w:r w:rsidRPr="00967BDC">
        <w:tab/>
        <w:t>применение вексельной схемы расчетов с поставщиками электрической энергии и мощности;</w:t>
      </w:r>
    </w:p>
    <w:p w:rsidR="00AD1F84" w:rsidRPr="00967BDC" w:rsidRDefault="00AD1F84" w:rsidP="00396190">
      <w:pPr>
        <w:tabs>
          <w:tab w:val="left" w:pos="1080"/>
        </w:tabs>
        <w:ind w:firstLine="708"/>
        <w:jc w:val="both"/>
      </w:pPr>
      <w:r w:rsidRPr="00967BDC">
        <w:t>•</w:t>
      </w:r>
      <w:r w:rsidRPr="00967BDC">
        <w:tab/>
        <w:t>приостановка начисления и списания неустойки на ОРЭМ с 01.08.2014.</w:t>
      </w:r>
    </w:p>
    <w:p w:rsidR="00F91617" w:rsidRDefault="00AD1F84" w:rsidP="00B16950">
      <w:pPr>
        <w:ind w:firstLine="708"/>
        <w:jc w:val="both"/>
      </w:pPr>
      <w:r w:rsidRPr="00967BDC">
        <w:t>В 2014 году основным риском ОАО «Каббалкэнерго», связанным с неисполнением обязательств по оплате на ОРЭМ является лишение статуса субъекта оптового рынка электроэнергии и мощности и, как следствие, прекращение права участия в торговле электрической энергией и мощностью на оптовом рынке. Профессиональные действия менеджеров Общества направлены на минимизацию вышеуказанного риска и улучшени</w:t>
      </w:r>
      <w:r w:rsidR="00B16950">
        <w:t>е платежной дисциплины на ОРЭМ.</w:t>
      </w:r>
    </w:p>
    <w:p w:rsidR="00B16950" w:rsidRPr="00B16950" w:rsidRDefault="00B16950" w:rsidP="00B16950">
      <w:pPr>
        <w:ind w:firstLine="708"/>
        <w:jc w:val="both"/>
      </w:pPr>
    </w:p>
    <w:p w:rsidR="007F6DBF" w:rsidRPr="007F6DBF" w:rsidRDefault="007F6DBF" w:rsidP="007F6DBF">
      <w:pPr>
        <w:ind w:firstLine="720"/>
        <w:jc w:val="center"/>
        <w:rPr>
          <w:b/>
        </w:rPr>
      </w:pPr>
      <w:r w:rsidRPr="004A1E12">
        <w:rPr>
          <w:b/>
          <w:sz w:val="28"/>
        </w:rPr>
        <w:t>4.2. Организация взаимодействия с потребителями услуг</w:t>
      </w:r>
    </w:p>
    <w:p w:rsidR="007F6DBF" w:rsidRPr="007F6DBF" w:rsidRDefault="007F6DBF" w:rsidP="007F6DBF">
      <w:pPr>
        <w:ind w:firstLine="720"/>
        <w:jc w:val="center"/>
        <w:rPr>
          <w:b/>
        </w:rPr>
      </w:pPr>
    </w:p>
    <w:p w:rsidR="007F6DBF" w:rsidRPr="007F6DBF" w:rsidRDefault="007F6DBF" w:rsidP="007F6DBF">
      <w:pPr>
        <w:ind w:firstLine="567"/>
        <w:jc w:val="both"/>
      </w:pPr>
      <w:r w:rsidRPr="007F6DBF">
        <w:t>Продажа электрической энергии на розничном рынке осуществляется в двух направлениях:</w:t>
      </w:r>
    </w:p>
    <w:p w:rsidR="007F6DBF" w:rsidRPr="007F6DBF" w:rsidRDefault="007F6DBF" w:rsidP="007F6DBF">
      <w:pPr>
        <w:ind w:firstLine="567"/>
        <w:jc w:val="both"/>
      </w:pPr>
      <w:r w:rsidRPr="007F6DBF">
        <w:t>- конечным потребителям;</w:t>
      </w:r>
    </w:p>
    <w:p w:rsidR="007F6DBF" w:rsidRPr="007F6DBF" w:rsidRDefault="007F6DBF" w:rsidP="007F6DBF">
      <w:pPr>
        <w:ind w:firstLine="567"/>
        <w:jc w:val="both"/>
      </w:pPr>
      <w:r w:rsidRPr="007F6DBF">
        <w:t>- сетевым компаниям в целях компенсации потерь.</w:t>
      </w:r>
    </w:p>
    <w:p w:rsidR="007F6DBF" w:rsidRPr="007F6DBF" w:rsidRDefault="007F6DBF" w:rsidP="007F6DBF">
      <w:pPr>
        <w:ind w:firstLine="720"/>
        <w:contextualSpacing/>
        <w:jc w:val="both"/>
      </w:pPr>
      <w:r w:rsidRPr="007F6DBF">
        <w:t>В 2014 году потребление электроэнергии на розничном рынке электроэнергии по сравнению с 2013 годом увеличилось на 42,5 млн. кВт.ч. или на 2,8%, увеличение объема продаж в стоимостном выражении составило 813,1 млн. руб., или 24,3%. В том числе в 2014 году потребление электроэнергии конечных потребителей по сравнению с 2013 годом увеличилось на 81,2 млн. кВт.ч. или на 22,4%, увеличение объема продаж конечным потребителям в стоимостном выражении составило 678,9 млн. руб., или 23,0%.</w:t>
      </w:r>
    </w:p>
    <w:p w:rsidR="007F6DBF" w:rsidRPr="007F6DBF" w:rsidRDefault="007F6DBF" w:rsidP="007F6DBF">
      <w:pPr>
        <w:ind w:firstLine="720"/>
        <w:jc w:val="both"/>
      </w:pPr>
      <w:r w:rsidRPr="007F6DBF">
        <w:t>Оплата поставленной электроэнергии с учетом объема электроэнергии приобретаемой в целях компенсации потерь составила 4 162,0 млн. руб., или 96,7%. Аналогичный показатель за 2013 год составил 3 349,1 млн. руб. или 97,8%.</w:t>
      </w:r>
    </w:p>
    <w:p w:rsidR="007F6DBF" w:rsidRPr="007F6DBF" w:rsidRDefault="007F6DBF" w:rsidP="007F6DBF">
      <w:pPr>
        <w:ind w:firstLine="720"/>
        <w:jc w:val="both"/>
      </w:pPr>
      <w:r w:rsidRPr="007F6DBF">
        <w:t xml:space="preserve">Оплата поставленной электроэнергии конечным потребителям  в 2014 году составила 3 635,2 млн. руб. или 96,9 %. Аналогичный показатель за 2013 год составил 2 956,3млн. руб. или 97,6%. </w:t>
      </w:r>
    </w:p>
    <w:p w:rsidR="007F6DBF" w:rsidRPr="007F6DBF" w:rsidRDefault="007F6DBF" w:rsidP="007F6DBF">
      <w:pPr>
        <w:ind w:firstLine="720"/>
        <w:jc w:val="both"/>
      </w:pPr>
      <w:r w:rsidRPr="007F6DBF">
        <w:t>Прирост задолженности по всем группам потребителей за 2014 год составил 132,3 млн. руб. или 44,4 %., в том числе по конечным потребителям - 108,7 млн. руб. или 37,4%.</w:t>
      </w:r>
    </w:p>
    <w:p w:rsidR="007F6DBF" w:rsidRPr="007F6DBF" w:rsidRDefault="007F6DBF" w:rsidP="007F6DBF">
      <w:pPr>
        <w:ind w:firstLine="720"/>
        <w:jc w:val="both"/>
      </w:pPr>
      <w:r w:rsidRPr="007F6DBF">
        <w:t>Главная причиной недостаточного уровня оплаты поставленной электроэнергии являются неплатежи со стороны потребителей жилищно-коммунального хозяйства (предприятия водоканала и теплоэнерго), в частности МУП «УК Водоканал» г.Нальчик, недоплатившего 73,7 млн.руб., ОАО «Теплоэнергетическая компания» г. Нальчик – 21,7 млн.руб., а также неплатежами со стороны сетевой организации ОАО «МРСК «Северного Кавказа», недоплата по которой составила 22,8 млн.руб.</w:t>
      </w:r>
    </w:p>
    <w:p w:rsidR="007F6DBF" w:rsidRPr="007F6DBF" w:rsidRDefault="007F6DBF" w:rsidP="007F6DBF">
      <w:pPr>
        <w:ind w:firstLine="720"/>
        <w:jc w:val="both"/>
      </w:pPr>
      <w:r w:rsidRPr="007F6DBF">
        <w:t>Кроме того, остается проблема низких платежей по группе «Население». Задолженность физических лиц за потребленную электроэнергию за истекший год выросла на 14,7 млн. руб. или на 37,1 % и на 31 декабря 2014 года составляет 54,3 млн. руб., уровень реализации (оплаты) – 98,4%.</w:t>
      </w:r>
    </w:p>
    <w:p w:rsidR="007F6DBF" w:rsidRPr="007F6DBF" w:rsidRDefault="007F6DBF" w:rsidP="007F6DBF">
      <w:pPr>
        <w:ind w:firstLine="720"/>
        <w:jc w:val="both"/>
      </w:pPr>
    </w:p>
    <w:p w:rsidR="007F6DBF" w:rsidRPr="007F6DBF" w:rsidRDefault="007F6DBF" w:rsidP="007F6DBF">
      <w:pPr>
        <w:ind w:firstLine="720"/>
        <w:jc w:val="both"/>
      </w:pPr>
    </w:p>
    <w:p w:rsidR="007F6DBF" w:rsidRPr="007F6DBF" w:rsidRDefault="007F6DBF" w:rsidP="007F6DBF">
      <w:pPr>
        <w:ind w:firstLine="720"/>
        <w:jc w:val="both"/>
      </w:pPr>
    </w:p>
    <w:p w:rsidR="007F6DBF" w:rsidRPr="007F6DBF" w:rsidRDefault="007F6DBF" w:rsidP="007F6DBF">
      <w:pPr>
        <w:ind w:firstLine="720"/>
        <w:jc w:val="both"/>
      </w:pPr>
    </w:p>
    <w:p w:rsidR="007F6DBF" w:rsidRPr="007F6DBF" w:rsidRDefault="007F6DBF" w:rsidP="007F6DBF">
      <w:pPr>
        <w:ind w:firstLine="720"/>
        <w:jc w:val="both"/>
        <w:rPr>
          <w:b/>
          <w:sz w:val="28"/>
          <w:szCs w:val="28"/>
          <w:highlight w:val="yellow"/>
        </w:rPr>
        <w:sectPr w:rsidR="007F6DBF" w:rsidRPr="007F6DBF" w:rsidSect="002F2EE5">
          <w:footerReference w:type="even" r:id="rId38"/>
          <w:footerReference w:type="first" r:id="rId39"/>
          <w:pgSz w:w="11906" w:h="16838"/>
          <w:pgMar w:top="1134" w:right="748" w:bottom="1134" w:left="1701" w:header="709" w:footer="709" w:gutter="0"/>
          <w:cols w:space="708"/>
          <w:titlePg/>
          <w:docGrid w:linePitch="360"/>
        </w:sectPr>
      </w:pPr>
    </w:p>
    <w:p w:rsidR="007F6DBF" w:rsidRPr="004A1E12" w:rsidRDefault="007F6DBF" w:rsidP="007F6DBF">
      <w:pPr>
        <w:ind w:left="720" w:firstLine="720"/>
        <w:contextualSpacing/>
        <w:jc w:val="center"/>
        <w:rPr>
          <w:b/>
          <w:sz w:val="28"/>
        </w:rPr>
      </w:pPr>
      <w:r w:rsidRPr="004A1E12">
        <w:rPr>
          <w:b/>
          <w:sz w:val="28"/>
        </w:rPr>
        <w:lastRenderedPageBreak/>
        <w:t>4.2.1. Расчеты с потребителями</w:t>
      </w:r>
    </w:p>
    <w:p w:rsidR="007F6DBF" w:rsidRPr="007F6DBF" w:rsidRDefault="007F6DBF" w:rsidP="007F6DBF">
      <w:pPr>
        <w:ind w:left="720" w:firstLine="720"/>
        <w:contextualSpacing/>
        <w:jc w:val="center"/>
        <w:rPr>
          <w:b/>
        </w:rPr>
      </w:pPr>
    </w:p>
    <w:p w:rsidR="007F6DBF" w:rsidRPr="003511AD" w:rsidRDefault="007F6DBF" w:rsidP="007F6DBF">
      <w:pPr>
        <w:ind w:left="720" w:firstLine="720"/>
        <w:contextualSpacing/>
        <w:jc w:val="center"/>
        <w:rPr>
          <w:b/>
        </w:rPr>
      </w:pPr>
      <w:r w:rsidRPr="003511AD">
        <w:rPr>
          <w:b/>
        </w:rPr>
        <w:t>Расчеты с потребителя</w:t>
      </w:r>
      <w:r w:rsidR="00396190" w:rsidRPr="003511AD">
        <w:rPr>
          <w:b/>
        </w:rPr>
        <w:t>ми ОАО «Каббалкэнерго» в 2012-</w:t>
      </w:r>
      <w:r w:rsidRPr="003511AD">
        <w:rPr>
          <w:b/>
        </w:rPr>
        <w:t>2014 гг.</w:t>
      </w:r>
    </w:p>
    <w:p w:rsidR="007F6DBF" w:rsidRPr="007F6DBF" w:rsidRDefault="007F6DBF" w:rsidP="007F6DBF">
      <w:pPr>
        <w:ind w:left="720" w:firstLine="720"/>
        <w:contextualSpacing/>
        <w:jc w:val="center"/>
      </w:pPr>
    </w:p>
    <w:tbl>
      <w:tblPr>
        <w:tblW w:w="15506" w:type="dxa"/>
        <w:tblInd w:w="-398" w:type="dxa"/>
        <w:tblLayout w:type="fixed"/>
        <w:tblCellMar>
          <w:left w:w="28" w:type="dxa"/>
          <w:right w:w="28" w:type="dxa"/>
        </w:tblCellMar>
        <w:tblLook w:val="04A0" w:firstRow="1" w:lastRow="0" w:firstColumn="1" w:lastColumn="0" w:noHBand="0" w:noVBand="1"/>
      </w:tblPr>
      <w:tblGrid>
        <w:gridCol w:w="2478"/>
        <w:gridCol w:w="925"/>
        <w:gridCol w:w="851"/>
        <w:gridCol w:w="850"/>
        <w:gridCol w:w="709"/>
        <w:gridCol w:w="567"/>
        <w:gridCol w:w="709"/>
        <w:gridCol w:w="567"/>
        <w:gridCol w:w="708"/>
        <w:gridCol w:w="567"/>
        <w:gridCol w:w="709"/>
        <w:gridCol w:w="567"/>
        <w:gridCol w:w="709"/>
        <w:gridCol w:w="567"/>
        <w:gridCol w:w="567"/>
        <w:gridCol w:w="567"/>
        <w:gridCol w:w="567"/>
        <w:gridCol w:w="567"/>
        <w:gridCol w:w="567"/>
        <w:gridCol w:w="567"/>
        <w:gridCol w:w="621"/>
      </w:tblGrid>
      <w:tr w:rsidR="007F6DBF" w:rsidRPr="007F6DBF" w:rsidTr="002F2EE5">
        <w:tc>
          <w:tcPr>
            <w:tcW w:w="247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Наименование  группы/потребителя</w:t>
            </w:r>
          </w:p>
        </w:tc>
        <w:tc>
          <w:tcPr>
            <w:tcW w:w="5178" w:type="dxa"/>
            <w:gridSpan w:val="7"/>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Объем продаж</w:t>
            </w:r>
          </w:p>
        </w:tc>
        <w:tc>
          <w:tcPr>
            <w:tcW w:w="6095" w:type="dxa"/>
            <w:gridSpan w:val="10"/>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Объем реализации</w:t>
            </w:r>
          </w:p>
        </w:tc>
        <w:tc>
          <w:tcPr>
            <w:tcW w:w="1755" w:type="dxa"/>
            <w:gridSpan w:val="3"/>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Недоплата</w:t>
            </w:r>
          </w:p>
        </w:tc>
      </w:tr>
      <w:tr w:rsidR="007F6DBF" w:rsidRPr="007F6DBF" w:rsidTr="002F2EE5">
        <w:tc>
          <w:tcPr>
            <w:tcW w:w="2478" w:type="dxa"/>
            <w:vMerge/>
            <w:tcBorders>
              <w:top w:val="single" w:sz="4" w:space="0" w:color="auto"/>
              <w:left w:val="single" w:sz="4" w:space="0" w:color="auto"/>
              <w:bottom w:val="single" w:sz="4" w:space="0" w:color="auto"/>
              <w:right w:val="single" w:sz="4" w:space="0" w:color="auto"/>
            </w:tcBorders>
            <w:vAlign w:val="center"/>
            <w:hideMark/>
          </w:tcPr>
          <w:p w:rsidR="007F6DBF" w:rsidRPr="007F6DBF" w:rsidRDefault="007F6DBF" w:rsidP="007F6DBF">
            <w:pPr>
              <w:suppressAutoHyphens/>
              <w:rPr>
                <w:sz w:val="18"/>
                <w:szCs w:val="18"/>
              </w:rPr>
            </w:pP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2012</w:t>
            </w:r>
          </w:p>
        </w:tc>
        <w:tc>
          <w:tcPr>
            <w:tcW w:w="851"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2013</w:t>
            </w:r>
          </w:p>
        </w:tc>
        <w:tc>
          <w:tcPr>
            <w:tcW w:w="850"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2014</w:t>
            </w:r>
          </w:p>
        </w:tc>
        <w:tc>
          <w:tcPr>
            <w:tcW w:w="1276" w:type="dxa"/>
            <w:gridSpan w:val="2"/>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Отклонения</w:t>
            </w:r>
          </w:p>
          <w:p w:rsidR="007F6DBF" w:rsidRPr="007F6DBF" w:rsidRDefault="007F6DBF" w:rsidP="007F6DBF">
            <w:pPr>
              <w:suppressAutoHyphens/>
              <w:jc w:val="center"/>
              <w:rPr>
                <w:sz w:val="18"/>
                <w:szCs w:val="18"/>
              </w:rPr>
            </w:pPr>
            <w:r w:rsidRPr="007F6DBF">
              <w:rPr>
                <w:sz w:val="18"/>
                <w:szCs w:val="18"/>
              </w:rPr>
              <w:t>2013 г. от 2012 г.</w:t>
            </w:r>
          </w:p>
        </w:tc>
        <w:tc>
          <w:tcPr>
            <w:tcW w:w="1276" w:type="dxa"/>
            <w:gridSpan w:val="2"/>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Отклонения</w:t>
            </w:r>
          </w:p>
          <w:p w:rsidR="007F6DBF" w:rsidRPr="007F6DBF" w:rsidRDefault="007F6DBF" w:rsidP="007F6DBF">
            <w:pPr>
              <w:suppressAutoHyphens/>
              <w:jc w:val="center"/>
              <w:rPr>
                <w:sz w:val="18"/>
                <w:szCs w:val="18"/>
              </w:rPr>
            </w:pPr>
            <w:r w:rsidRPr="007F6DBF">
              <w:rPr>
                <w:sz w:val="18"/>
                <w:szCs w:val="18"/>
              </w:rPr>
              <w:t>2014 г. от 2013 г.</w:t>
            </w:r>
          </w:p>
        </w:tc>
        <w:tc>
          <w:tcPr>
            <w:tcW w:w="1275" w:type="dxa"/>
            <w:gridSpan w:val="2"/>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2012</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2013</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2014</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Отклонения   2013 г. от 2012 г.</w:t>
            </w:r>
          </w:p>
        </w:tc>
        <w:tc>
          <w:tcPr>
            <w:tcW w:w="1134" w:type="dxa"/>
            <w:gridSpan w:val="2"/>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Отклонения   2014 г. от 2013 г.</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2012</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2013</w:t>
            </w:r>
          </w:p>
        </w:tc>
        <w:tc>
          <w:tcPr>
            <w:tcW w:w="621"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center"/>
              <w:rPr>
                <w:sz w:val="18"/>
                <w:szCs w:val="18"/>
              </w:rPr>
            </w:pPr>
            <w:r w:rsidRPr="007F6DBF">
              <w:rPr>
                <w:sz w:val="18"/>
                <w:szCs w:val="18"/>
              </w:rPr>
              <w:t>2014</w:t>
            </w:r>
          </w:p>
        </w:tc>
      </w:tr>
      <w:tr w:rsidR="007F6DBF" w:rsidRPr="007F6DBF" w:rsidTr="002F2EE5">
        <w:tc>
          <w:tcPr>
            <w:tcW w:w="2478" w:type="dxa"/>
            <w:vMerge/>
            <w:tcBorders>
              <w:top w:val="single" w:sz="4" w:space="0" w:color="auto"/>
              <w:left w:val="single" w:sz="4" w:space="0" w:color="auto"/>
              <w:bottom w:val="single" w:sz="4" w:space="0" w:color="auto"/>
              <w:right w:val="single" w:sz="4" w:space="0" w:color="auto"/>
            </w:tcBorders>
            <w:vAlign w:val="center"/>
            <w:hideMark/>
          </w:tcPr>
          <w:p w:rsidR="007F6DBF" w:rsidRPr="007F6DBF" w:rsidRDefault="007F6DBF" w:rsidP="007F6DBF">
            <w:pPr>
              <w:suppressAutoHyphens/>
              <w:rPr>
                <w:sz w:val="18"/>
                <w:szCs w:val="18"/>
              </w:rPr>
            </w:pP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center"/>
              <w:rPr>
                <w:sz w:val="18"/>
                <w:szCs w:val="18"/>
              </w:rPr>
            </w:pPr>
            <w:r w:rsidRPr="007F6DBF">
              <w:rPr>
                <w:sz w:val="18"/>
                <w:szCs w:val="18"/>
              </w:rPr>
              <w:t>млн. руб.</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Промышленность</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691,0</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820,1</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883,1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129,1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18,7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63,0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7,7</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692,3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817,2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881,9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124,9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18,0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64,7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2,9</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Непромышленные</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171,9</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447,5</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611,7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275,6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160,3</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164,2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36,7</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171,1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442,2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98,8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612,1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271,1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158,4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169,9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38,4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-0,5</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Энергосбытовые компании</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565,7</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305,4</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94,0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-260,3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-46,0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-211,4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-69,2</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565,7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294,8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96,5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94,0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-270,9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-200,7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-68,1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10,7</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0,0</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396190">
            <w:pPr>
              <w:suppressAutoHyphens/>
              <w:ind w:left="114"/>
              <w:rPr>
                <w:i/>
                <w:iCs/>
                <w:sz w:val="18"/>
                <w:szCs w:val="18"/>
              </w:rPr>
            </w:pPr>
            <w:r w:rsidRPr="007F6DBF">
              <w:rPr>
                <w:i/>
                <w:iCs/>
                <w:sz w:val="18"/>
                <w:szCs w:val="18"/>
              </w:rPr>
              <w:t>ОАО "Нальчикэнергосбыт"</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472,9</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207,5</w:t>
            </w:r>
          </w:p>
        </w:tc>
        <w:tc>
          <w:tcPr>
            <w:tcW w:w="850"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-265,4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-56,1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-207,5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476,7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196,9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94,9</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-279,8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-58,7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-196,9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-3,8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10,7</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396190">
            <w:pPr>
              <w:suppressAutoHyphens/>
              <w:ind w:left="114"/>
              <w:rPr>
                <w:i/>
                <w:iCs/>
                <w:sz w:val="18"/>
                <w:szCs w:val="18"/>
              </w:rPr>
            </w:pPr>
            <w:r w:rsidRPr="007F6DBF">
              <w:rPr>
                <w:i/>
                <w:iCs/>
                <w:sz w:val="18"/>
                <w:szCs w:val="18"/>
              </w:rPr>
              <w:t>ОАО "ЭСК" г.Прохладный</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92,8</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97,9</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94,0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-3,9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-4,0</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92,8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94,0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5,5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-3,9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-4,0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Сельское хозяйство</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106,9</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123,2</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139,6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15,3</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13,3</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106,7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123,4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141,2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101,1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14,4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-0,2</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Население</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458,2</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656,1</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944,5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197,9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43,2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288,5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44,0</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426,1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93,0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651,0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929,8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98,4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224,9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52,8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278,8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42,8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32,1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5,0</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14,7</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Федеральный бюджет</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69,2</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174,8</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206,1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105,6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152,6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31,3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17,9</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70,8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102,3</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96,1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207,3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97,1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137,2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39,4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23,5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6,8</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Местный бюджет</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124,8</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249,8</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315,5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125,0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65,7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26,3</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126,3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101,2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237,5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95,1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316,5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111,2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88,0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79,0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33,3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12,4</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Предприятия ЖКХ</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223,2</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252,8</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557,2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29,6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13,3</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304,4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120,4</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215,5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96,6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222,3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87,9</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452,4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81,2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230,1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103,5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7,7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33,5</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104,8</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396190">
            <w:pPr>
              <w:suppressAutoHyphens/>
              <w:ind w:left="256"/>
              <w:rPr>
                <w:i/>
                <w:iCs/>
                <w:sz w:val="18"/>
                <w:szCs w:val="18"/>
              </w:rPr>
            </w:pPr>
            <w:r w:rsidRPr="007F6DBF">
              <w:rPr>
                <w:i/>
                <w:iCs/>
                <w:sz w:val="18"/>
                <w:szCs w:val="18"/>
              </w:rPr>
              <w:t>МУП "Коммунальник"</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0,0</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396190">
            <w:pPr>
              <w:suppressAutoHyphens/>
              <w:ind w:left="256"/>
              <w:rPr>
                <w:i/>
                <w:iCs/>
                <w:sz w:val="18"/>
                <w:szCs w:val="18"/>
              </w:rPr>
            </w:pPr>
            <w:r w:rsidRPr="007F6DBF">
              <w:rPr>
                <w:i/>
                <w:iCs/>
                <w:sz w:val="18"/>
                <w:szCs w:val="18"/>
              </w:rPr>
              <w:t>УК «Водоканал»</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97,5</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96,5</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247,1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150,6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156,1</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95,8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98,3</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80,9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83,8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173,4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70,2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-14,9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-15,6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92,5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114,3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15,5</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i/>
                <w:iCs/>
                <w:sz w:val="18"/>
                <w:szCs w:val="18"/>
              </w:rPr>
            </w:pPr>
            <w:r w:rsidRPr="007F6DBF">
              <w:rPr>
                <w:i/>
                <w:iCs/>
                <w:sz w:val="18"/>
                <w:szCs w:val="18"/>
              </w:rPr>
              <w:t>73,8</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vAlign w:val="center"/>
            <w:hideMark/>
          </w:tcPr>
          <w:p w:rsidR="007F6DBF" w:rsidRPr="007F6DBF" w:rsidRDefault="007F6DBF" w:rsidP="007F6DBF">
            <w:pPr>
              <w:suppressAutoHyphens/>
              <w:rPr>
                <w:b/>
                <w:bCs/>
                <w:sz w:val="18"/>
                <w:szCs w:val="18"/>
              </w:rPr>
            </w:pPr>
            <w:r w:rsidRPr="007F6DBF">
              <w:rPr>
                <w:b/>
                <w:bCs/>
                <w:sz w:val="18"/>
                <w:szCs w:val="18"/>
              </w:rPr>
              <w:t>Итого конечным потребителям:</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2 410,9</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3 029,7</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3 751,7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618,8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25,7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722,0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23,8</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2 374,6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98,5</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2 956,3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97,6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3 635,2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96,9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581,8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24,5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678,9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23,0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36,3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73,3</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116,5</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b/>
                <w:bCs/>
                <w:sz w:val="18"/>
                <w:szCs w:val="18"/>
              </w:rPr>
            </w:pPr>
            <w:r w:rsidRPr="007F6DBF">
              <w:rPr>
                <w:b/>
                <w:bCs/>
                <w:sz w:val="18"/>
                <w:szCs w:val="18"/>
              </w:rPr>
              <w:t>Потери всего:</w:t>
            </w:r>
          </w:p>
        </w:tc>
        <w:tc>
          <w:tcPr>
            <w:tcW w:w="925"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222,9</w:t>
            </w:r>
          </w:p>
        </w:tc>
        <w:tc>
          <w:tcPr>
            <w:tcW w:w="851"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393,4</w:t>
            </w:r>
          </w:p>
        </w:tc>
        <w:tc>
          <w:tcPr>
            <w:tcW w:w="850"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550,4</w:t>
            </w:r>
          </w:p>
        </w:tc>
        <w:tc>
          <w:tcPr>
            <w:tcW w:w="709"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170,5</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76,5</w:t>
            </w:r>
          </w:p>
        </w:tc>
        <w:tc>
          <w:tcPr>
            <w:tcW w:w="709"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157,0</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39,9</w:t>
            </w:r>
          </w:p>
        </w:tc>
        <w:tc>
          <w:tcPr>
            <w:tcW w:w="708"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227,9</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102,2</w:t>
            </w:r>
          </w:p>
        </w:tc>
        <w:tc>
          <w:tcPr>
            <w:tcW w:w="709"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392,7</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99,8</w:t>
            </w:r>
          </w:p>
        </w:tc>
        <w:tc>
          <w:tcPr>
            <w:tcW w:w="709"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526,8</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95,7</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164,8</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72,3</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134,1</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34,2</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-5,1</w:t>
            </w:r>
          </w:p>
        </w:tc>
        <w:tc>
          <w:tcPr>
            <w:tcW w:w="567"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0,5</w:t>
            </w:r>
          </w:p>
        </w:tc>
        <w:tc>
          <w:tcPr>
            <w:tcW w:w="621" w:type="dxa"/>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suppressAutoHyphens/>
              <w:jc w:val="right"/>
              <w:rPr>
                <w:b/>
                <w:bCs/>
                <w:sz w:val="18"/>
                <w:szCs w:val="18"/>
              </w:rPr>
            </w:pPr>
            <w:r w:rsidRPr="007F6DBF">
              <w:rPr>
                <w:b/>
                <w:bCs/>
                <w:sz w:val="18"/>
                <w:szCs w:val="18"/>
              </w:rPr>
              <w:t>23,6</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Потери РСК</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198,0</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225,1</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293,1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68,0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30,2</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200,0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101,0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226,5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100,6</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270,3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92,2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26,5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43,8</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19,3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-1,7</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22,8</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sz w:val="18"/>
                <w:szCs w:val="18"/>
              </w:rPr>
            </w:pPr>
            <w:r w:rsidRPr="007F6DBF">
              <w:rPr>
                <w:sz w:val="18"/>
                <w:szCs w:val="18"/>
              </w:rPr>
              <w:t>Потери ТСО</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24,9</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257,2</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143,4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575,9</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88,9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52,8</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27,9</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112,0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166,1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98,7</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256,5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99,7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138,2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495,4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90,3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54,4</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-3,1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2,2</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sz w:val="18"/>
                <w:szCs w:val="18"/>
              </w:rPr>
            </w:pPr>
            <w:r w:rsidRPr="007F6DBF">
              <w:rPr>
                <w:sz w:val="18"/>
                <w:szCs w:val="18"/>
              </w:rPr>
              <w:t>0,8</w:t>
            </w:r>
          </w:p>
        </w:tc>
      </w:tr>
      <w:tr w:rsidR="007F6DBF" w:rsidRPr="007F6DBF" w:rsidTr="002F2EE5">
        <w:tc>
          <w:tcPr>
            <w:tcW w:w="2478" w:type="dxa"/>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suppressAutoHyphens/>
              <w:rPr>
                <w:b/>
                <w:bCs/>
                <w:sz w:val="18"/>
                <w:szCs w:val="18"/>
              </w:rPr>
            </w:pPr>
            <w:r w:rsidRPr="007F6DBF">
              <w:rPr>
                <w:b/>
                <w:bCs/>
                <w:sz w:val="18"/>
                <w:szCs w:val="18"/>
              </w:rPr>
              <w:t>Итого:</w:t>
            </w:r>
          </w:p>
        </w:tc>
        <w:tc>
          <w:tcPr>
            <w:tcW w:w="925"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2 633,8</w:t>
            </w:r>
          </w:p>
        </w:tc>
        <w:tc>
          <w:tcPr>
            <w:tcW w:w="85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3 423,1</w:t>
            </w:r>
          </w:p>
        </w:tc>
        <w:tc>
          <w:tcPr>
            <w:tcW w:w="850"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4 302,1</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789,3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30,0</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879,0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25,7</w:t>
            </w:r>
          </w:p>
        </w:tc>
        <w:tc>
          <w:tcPr>
            <w:tcW w:w="708"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2 602,5</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98,8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3 349,0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97,8</w:t>
            </w:r>
          </w:p>
        </w:tc>
        <w:tc>
          <w:tcPr>
            <w:tcW w:w="709"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4 162,0</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96,7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746,6</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28,7</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813,1</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24,3</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31,2</w:t>
            </w:r>
          </w:p>
        </w:tc>
        <w:tc>
          <w:tcPr>
            <w:tcW w:w="567"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73,8</w:t>
            </w:r>
          </w:p>
        </w:tc>
        <w:tc>
          <w:tcPr>
            <w:tcW w:w="621" w:type="dxa"/>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suppressAutoHyphens/>
              <w:jc w:val="right"/>
              <w:rPr>
                <w:b/>
                <w:bCs/>
                <w:sz w:val="18"/>
                <w:szCs w:val="18"/>
              </w:rPr>
            </w:pPr>
            <w:r w:rsidRPr="007F6DBF">
              <w:rPr>
                <w:b/>
                <w:bCs/>
                <w:sz w:val="18"/>
                <w:szCs w:val="18"/>
              </w:rPr>
              <w:t>140,1</w:t>
            </w:r>
          </w:p>
        </w:tc>
      </w:tr>
    </w:tbl>
    <w:p w:rsidR="007F6DBF" w:rsidRPr="007F6DBF" w:rsidRDefault="007F6DBF" w:rsidP="007F6DBF">
      <w:pPr>
        <w:ind w:firstLine="720"/>
        <w:jc w:val="both"/>
        <w:rPr>
          <w:b/>
          <w:sz w:val="28"/>
          <w:szCs w:val="28"/>
          <w:highlight w:val="yellow"/>
        </w:rPr>
        <w:sectPr w:rsidR="007F6DBF" w:rsidRPr="007F6DBF" w:rsidSect="00B16950">
          <w:pgSz w:w="16838" w:h="11906" w:orient="landscape"/>
          <w:pgMar w:top="1418" w:right="1134" w:bottom="748" w:left="1134" w:header="709" w:footer="709" w:gutter="0"/>
          <w:cols w:space="708"/>
          <w:titlePg/>
          <w:docGrid w:linePitch="360"/>
        </w:sectPr>
      </w:pPr>
    </w:p>
    <w:p w:rsidR="007F6DBF" w:rsidRPr="007F6DBF" w:rsidRDefault="007F6DBF" w:rsidP="007F6DBF">
      <w:pPr>
        <w:suppressAutoHyphens/>
        <w:jc w:val="center"/>
        <w:rPr>
          <w:b/>
        </w:rPr>
      </w:pPr>
      <w:r w:rsidRPr="007F6DBF">
        <w:rPr>
          <w:b/>
        </w:rPr>
        <w:lastRenderedPageBreak/>
        <w:t>Динамика фактического потребления электроэнергии за 2012-2014 гг.</w:t>
      </w:r>
    </w:p>
    <w:p w:rsidR="007F6DBF" w:rsidRPr="007F6DBF" w:rsidRDefault="007F6DBF" w:rsidP="007F6DBF">
      <w:pPr>
        <w:suppressAutoHyphens/>
        <w:jc w:val="center"/>
        <w:rPr>
          <w:b/>
        </w:rPr>
      </w:pPr>
    </w:p>
    <w:p w:rsidR="007F6DBF" w:rsidRPr="007F6DBF" w:rsidRDefault="007F6DBF" w:rsidP="007F6DBF">
      <w:pPr>
        <w:suppressAutoHyphens/>
        <w:jc w:val="right"/>
        <w:rPr>
          <w:b/>
        </w:rPr>
      </w:pPr>
      <w:r w:rsidRPr="007F6DBF">
        <w:rPr>
          <w:b/>
        </w:rPr>
        <w:t>млн. кВт.ч.</w:t>
      </w:r>
    </w:p>
    <w:tbl>
      <w:tblPr>
        <w:tblW w:w="5130" w:type="pct"/>
        <w:tblInd w:w="-318" w:type="dxa"/>
        <w:tblLayout w:type="fixed"/>
        <w:tblLook w:val="04A0" w:firstRow="1" w:lastRow="0" w:firstColumn="1" w:lastColumn="0" w:noHBand="0" w:noVBand="1"/>
      </w:tblPr>
      <w:tblGrid>
        <w:gridCol w:w="3689"/>
        <w:gridCol w:w="993"/>
        <w:gridCol w:w="853"/>
        <w:gridCol w:w="994"/>
        <w:gridCol w:w="756"/>
        <w:gridCol w:w="1004"/>
        <w:gridCol w:w="758"/>
        <w:gridCol w:w="877"/>
      </w:tblGrid>
      <w:tr w:rsidR="007F6DBF" w:rsidRPr="007F6DBF" w:rsidTr="002F2EE5">
        <w:trPr>
          <w:trHeight w:val="900"/>
        </w:trPr>
        <w:tc>
          <w:tcPr>
            <w:tcW w:w="185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jc w:val="center"/>
              <w:rPr>
                <w:color w:val="000000"/>
                <w:sz w:val="22"/>
                <w:szCs w:val="22"/>
              </w:rPr>
            </w:pPr>
            <w:r w:rsidRPr="007F6DBF">
              <w:rPr>
                <w:color w:val="000000"/>
                <w:sz w:val="22"/>
                <w:szCs w:val="22"/>
              </w:rPr>
              <w:t>Отрасль</w:t>
            </w:r>
          </w:p>
        </w:tc>
        <w:tc>
          <w:tcPr>
            <w:tcW w:w="500"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color w:val="000000"/>
                <w:sz w:val="22"/>
                <w:szCs w:val="22"/>
              </w:rPr>
            </w:pPr>
            <w:r w:rsidRPr="007F6DBF">
              <w:rPr>
                <w:color w:val="000000"/>
                <w:sz w:val="22"/>
                <w:szCs w:val="22"/>
              </w:rPr>
              <w:t>2012 г.</w:t>
            </w:r>
          </w:p>
        </w:tc>
        <w:tc>
          <w:tcPr>
            <w:tcW w:w="430"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i/>
                <w:iCs/>
                <w:color w:val="000000"/>
                <w:sz w:val="22"/>
                <w:szCs w:val="22"/>
              </w:rPr>
            </w:pPr>
            <w:r w:rsidRPr="007F6DBF">
              <w:rPr>
                <w:i/>
                <w:iCs/>
                <w:color w:val="000000"/>
                <w:sz w:val="22"/>
                <w:szCs w:val="22"/>
              </w:rPr>
              <w:t>доля, %</w:t>
            </w:r>
          </w:p>
        </w:tc>
        <w:tc>
          <w:tcPr>
            <w:tcW w:w="501"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color w:val="000000"/>
                <w:sz w:val="22"/>
                <w:szCs w:val="22"/>
              </w:rPr>
            </w:pPr>
            <w:r w:rsidRPr="007F6DBF">
              <w:rPr>
                <w:color w:val="000000"/>
                <w:sz w:val="22"/>
                <w:szCs w:val="22"/>
              </w:rPr>
              <w:t>2013 г.</w:t>
            </w:r>
          </w:p>
        </w:tc>
        <w:tc>
          <w:tcPr>
            <w:tcW w:w="381"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i/>
                <w:iCs/>
                <w:color w:val="000000"/>
                <w:sz w:val="22"/>
                <w:szCs w:val="22"/>
              </w:rPr>
            </w:pPr>
            <w:r w:rsidRPr="007F6DBF">
              <w:rPr>
                <w:i/>
                <w:iCs/>
                <w:color w:val="000000"/>
                <w:sz w:val="22"/>
                <w:szCs w:val="22"/>
              </w:rPr>
              <w:t>доля, %</w:t>
            </w:r>
          </w:p>
        </w:tc>
        <w:tc>
          <w:tcPr>
            <w:tcW w:w="506"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color w:val="000000"/>
                <w:sz w:val="22"/>
                <w:szCs w:val="22"/>
              </w:rPr>
            </w:pPr>
            <w:r w:rsidRPr="007F6DBF">
              <w:rPr>
                <w:color w:val="000000"/>
                <w:sz w:val="22"/>
                <w:szCs w:val="22"/>
              </w:rPr>
              <w:t>2014г.</w:t>
            </w:r>
          </w:p>
        </w:tc>
        <w:tc>
          <w:tcPr>
            <w:tcW w:w="382"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i/>
                <w:iCs/>
                <w:color w:val="000000"/>
                <w:sz w:val="22"/>
                <w:szCs w:val="22"/>
              </w:rPr>
            </w:pPr>
            <w:r w:rsidRPr="007F6DBF">
              <w:rPr>
                <w:i/>
                <w:iCs/>
                <w:color w:val="000000"/>
                <w:sz w:val="22"/>
                <w:szCs w:val="22"/>
              </w:rPr>
              <w:t>доля, %</w:t>
            </w:r>
          </w:p>
        </w:tc>
        <w:tc>
          <w:tcPr>
            <w:tcW w:w="443" w:type="pct"/>
            <w:tcBorders>
              <w:top w:val="single" w:sz="4" w:space="0" w:color="auto"/>
              <w:left w:val="nil"/>
              <w:bottom w:val="single" w:sz="4" w:space="0" w:color="auto"/>
              <w:right w:val="single" w:sz="4" w:space="0" w:color="auto"/>
            </w:tcBorders>
            <w:shd w:val="clear" w:color="auto" w:fill="auto"/>
            <w:vAlign w:val="center"/>
            <w:hideMark/>
          </w:tcPr>
          <w:p w:rsidR="007F6DBF" w:rsidRPr="007F6DBF" w:rsidRDefault="007F6DBF" w:rsidP="007F6DBF">
            <w:pPr>
              <w:jc w:val="center"/>
              <w:rPr>
                <w:i/>
                <w:iCs/>
                <w:color w:val="000000"/>
                <w:sz w:val="22"/>
                <w:szCs w:val="22"/>
              </w:rPr>
            </w:pPr>
            <w:r w:rsidRPr="007F6DBF">
              <w:rPr>
                <w:i/>
                <w:iCs/>
                <w:color w:val="000000"/>
                <w:sz w:val="22"/>
                <w:szCs w:val="22"/>
              </w:rPr>
              <w:t>Темп при-роста %</w:t>
            </w:r>
          </w:p>
        </w:tc>
      </w:tr>
      <w:tr w:rsidR="007F6DBF" w:rsidRPr="007F6DBF" w:rsidTr="002F2EE5">
        <w:trPr>
          <w:trHeight w:val="570"/>
        </w:trPr>
        <w:tc>
          <w:tcPr>
            <w:tcW w:w="1858" w:type="pct"/>
            <w:tcBorders>
              <w:top w:val="nil"/>
              <w:left w:val="single" w:sz="4" w:space="0" w:color="auto"/>
              <w:bottom w:val="single" w:sz="4" w:space="0" w:color="auto"/>
              <w:right w:val="single" w:sz="4" w:space="0" w:color="auto"/>
            </w:tcBorders>
            <w:shd w:val="clear" w:color="auto" w:fill="auto"/>
            <w:vAlign w:val="center"/>
            <w:hideMark/>
          </w:tcPr>
          <w:p w:rsidR="007F6DBF" w:rsidRPr="007F6DBF" w:rsidRDefault="007F6DBF" w:rsidP="007F6DBF">
            <w:pPr>
              <w:rPr>
                <w:b/>
                <w:bCs/>
                <w:color w:val="000000"/>
                <w:sz w:val="22"/>
                <w:szCs w:val="22"/>
              </w:rPr>
            </w:pPr>
            <w:r w:rsidRPr="007F6DBF">
              <w:rPr>
                <w:b/>
                <w:bCs/>
                <w:color w:val="000000"/>
                <w:sz w:val="22"/>
                <w:szCs w:val="22"/>
              </w:rPr>
              <w:t>Конечным потребителям всего</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1 220,1</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82,5</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1 139,7</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75,9</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1 100,8</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71,3</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b/>
                <w:bCs/>
                <w:color w:val="000000"/>
                <w:sz w:val="22"/>
                <w:szCs w:val="22"/>
              </w:rPr>
            </w:pPr>
            <w:r w:rsidRPr="007F6DBF">
              <w:rPr>
                <w:b/>
                <w:bCs/>
                <w:color w:val="000000"/>
                <w:sz w:val="22"/>
                <w:szCs w:val="22"/>
              </w:rPr>
              <w:t>-3,4</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Промышленные потребители</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206,6</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14,0</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236,9</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15,8</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237,3</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15,4</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0,2</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Непромышленные потребители</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45,1</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3,1</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101,9</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6,8</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134,3</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8,7</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31,8</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vAlign w:val="center"/>
            <w:hideMark/>
          </w:tcPr>
          <w:p w:rsidR="007F6DBF" w:rsidRPr="007F6DBF" w:rsidRDefault="007F6DBF" w:rsidP="007F6DBF">
            <w:pPr>
              <w:rPr>
                <w:color w:val="000000"/>
                <w:sz w:val="22"/>
                <w:szCs w:val="22"/>
              </w:rPr>
            </w:pPr>
            <w:r w:rsidRPr="007F6DBF">
              <w:rPr>
                <w:color w:val="000000"/>
                <w:sz w:val="22"/>
                <w:szCs w:val="22"/>
              </w:rPr>
              <w:t>Энергосбытовые компании</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600,5</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40,6</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326,6</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21,8</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88,2</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5,7</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-73,0</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Сельскохозяйственные потребители</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29,7</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2,0</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31,8</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2,1</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33,9</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2,2</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6,6</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Население</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223,2</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15,1</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281,9</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18,8</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367,3</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23,8</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30,3</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Бюджет</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50,1</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3,4</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96,7</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6,4</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110,8</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7,2</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14,6</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color w:val="000000"/>
                <w:sz w:val="22"/>
                <w:szCs w:val="22"/>
              </w:rPr>
            </w:pPr>
            <w:r w:rsidRPr="007F6DBF">
              <w:rPr>
                <w:color w:val="000000"/>
                <w:sz w:val="22"/>
                <w:szCs w:val="22"/>
              </w:rPr>
              <w:t>Предприятия ЖКХ</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64,8</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4,4</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64,0</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4,3</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129,1</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color w:val="000000"/>
                <w:sz w:val="22"/>
                <w:szCs w:val="22"/>
              </w:rPr>
            </w:pPr>
            <w:r w:rsidRPr="007F6DBF">
              <w:rPr>
                <w:color w:val="000000"/>
                <w:sz w:val="22"/>
                <w:szCs w:val="22"/>
              </w:rPr>
              <w:t>8,4</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color w:val="000000"/>
                <w:sz w:val="22"/>
                <w:szCs w:val="22"/>
              </w:rPr>
            </w:pPr>
            <w:r w:rsidRPr="007F6DBF">
              <w:rPr>
                <w:color w:val="000000"/>
                <w:sz w:val="22"/>
                <w:szCs w:val="22"/>
              </w:rPr>
              <w:t>101,7</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b/>
                <w:bCs/>
                <w:color w:val="000000"/>
                <w:sz w:val="22"/>
                <w:szCs w:val="22"/>
              </w:rPr>
            </w:pPr>
            <w:r w:rsidRPr="007F6DBF">
              <w:rPr>
                <w:b/>
                <w:bCs/>
                <w:color w:val="000000"/>
                <w:sz w:val="22"/>
                <w:szCs w:val="22"/>
              </w:rPr>
              <w:t>Итого всего, в т.ч.:</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258,9</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17,5</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361,9</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24,1</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443,1</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28,7</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b/>
                <w:bCs/>
                <w:color w:val="000000"/>
                <w:sz w:val="22"/>
                <w:szCs w:val="22"/>
              </w:rPr>
            </w:pPr>
            <w:r w:rsidRPr="007F6DBF">
              <w:rPr>
                <w:b/>
                <w:bCs/>
                <w:color w:val="000000"/>
                <w:sz w:val="22"/>
                <w:szCs w:val="22"/>
              </w:rPr>
              <w:t>22,4</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i/>
                <w:iCs/>
                <w:color w:val="000000"/>
                <w:sz w:val="22"/>
                <w:szCs w:val="22"/>
              </w:rPr>
            </w:pPr>
            <w:r w:rsidRPr="007F6DBF">
              <w:rPr>
                <w:i/>
                <w:iCs/>
                <w:color w:val="000000"/>
                <w:sz w:val="22"/>
                <w:szCs w:val="22"/>
              </w:rPr>
              <w:t xml:space="preserve">    Потери РСК</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235,1</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15,9</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231,8</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15,4</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251,3</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16,3</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i/>
                <w:iCs/>
                <w:color w:val="000000"/>
                <w:sz w:val="22"/>
                <w:szCs w:val="22"/>
              </w:rPr>
            </w:pPr>
            <w:r w:rsidRPr="007F6DBF">
              <w:rPr>
                <w:i/>
                <w:iCs/>
                <w:color w:val="000000"/>
                <w:sz w:val="22"/>
                <w:szCs w:val="22"/>
              </w:rPr>
              <w:t>8,4</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i/>
                <w:iCs/>
                <w:color w:val="000000"/>
                <w:sz w:val="22"/>
                <w:szCs w:val="22"/>
              </w:rPr>
            </w:pPr>
            <w:r w:rsidRPr="007F6DBF">
              <w:rPr>
                <w:i/>
                <w:iCs/>
                <w:color w:val="000000"/>
                <w:sz w:val="22"/>
                <w:szCs w:val="22"/>
              </w:rPr>
              <w:t xml:space="preserve">    Потери ТСО</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23,8</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1,6</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130,1</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8,7</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191,8</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i/>
                <w:iCs/>
                <w:color w:val="000000"/>
                <w:sz w:val="22"/>
                <w:szCs w:val="22"/>
              </w:rPr>
            </w:pPr>
            <w:r w:rsidRPr="007F6DBF">
              <w:rPr>
                <w:i/>
                <w:iCs/>
                <w:color w:val="000000"/>
                <w:sz w:val="22"/>
                <w:szCs w:val="22"/>
              </w:rPr>
              <w:t>12,4</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i/>
                <w:iCs/>
                <w:color w:val="000000"/>
                <w:sz w:val="22"/>
                <w:szCs w:val="22"/>
              </w:rPr>
            </w:pPr>
            <w:r w:rsidRPr="007F6DBF">
              <w:rPr>
                <w:i/>
                <w:iCs/>
                <w:color w:val="000000"/>
                <w:sz w:val="22"/>
                <w:szCs w:val="22"/>
              </w:rPr>
              <w:t>47,4</w:t>
            </w:r>
          </w:p>
        </w:tc>
      </w:tr>
      <w:tr w:rsidR="007F6DBF" w:rsidRPr="007F6DBF" w:rsidTr="002F2EE5">
        <w:trPr>
          <w:trHeight w:val="300"/>
        </w:trPr>
        <w:tc>
          <w:tcPr>
            <w:tcW w:w="1858" w:type="pct"/>
            <w:tcBorders>
              <w:top w:val="nil"/>
              <w:left w:val="single" w:sz="4" w:space="0" w:color="auto"/>
              <w:bottom w:val="single" w:sz="4" w:space="0" w:color="auto"/>
              <w:right w:val="single" w:sz="4" w:space="0" w:color="auto"/>
            </w:tcBorders>
            <w:shd w:val="clear" w:color="auto" w:fill="auto"/>
            <w:noWrap/>
            <w:vAlign w:val="center"/>
            <w:hideMark/>
          </w:tcPr>
          <w:p w:rsidR="007F6DBF" w:rsidRPr="007F6DBF" w:rsidRDefault="007F6DBF" w:rsidP="007F6DBF">
            <w:pPr>
              <w:rPr>
                <w:b/>
                <w:bCs/>
                <w:color w:val="000000"/>
                <w:sz w:val="22"/>
                <w:szCs w:val="22"/>
              </w:rPr>
            </w:pPr>
            <w:r w:rsidRPr="007F6DBF">
              <w:rPr>
                <w:b/>
                <w:bCs/>
                <w:color w:val="000000"/>
                <w:sz w:val="22"/>
                <w:szCs w:val="22"/>
              </w:rPr>
              <w:t>Итого</w:t>
            </w:r>
          </w:p>
        </w:tc>
        <w:tc>
          <w:tcPr>
            <w:tcW w:w="50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1 479,1</w:t>
            </w:r>
          </w:p>
        </w:tc>
        <w:tc>
          <w:tcPr>
            <w:tcW w:w="430"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100,0</w:t>
            </w:r>
          </w:p>
        </w:tc>
        <w:tc>
          <w:tcPr>
            <w:tcW w:w="50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1 501,5</w:t>
            </w:r>
          </w:p>
        </w:tc>
        <w:tc>
          <w:tcPr>
            <w:tcW w:w="381"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100,0</w:t>
            </w:r>
          </w:p>
        </w:tc>
        <w:tc>
          <w:tcPr>
            <w:tcW w:w="506"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1 544,0</w:t>
            </w:r>
          </w:p>
        </w:tc>
        <w:tc>
          <w:tcPr>
            <w:tcW w:w="382" w:type="pct"/>
            <w:tcBorders>
              <w:top w:val="nil"/>
              <w:left w:val="nil"/>
              <w:bottom w:val="single" w:sz="4" w:space="0" w:color="auto"/>
              <w:right w:val="single" w:sz="4" w:space="0" w:color="auto"/>
            </w:tcBorders>
            <w:shd w:val="clear" w:color="auto" w:fill="auto"/>
            <w:vAlign w:val="center"/>
            <w:hideMark/>
          </w:tcPr>
          <w:p w:rsidR="007F6DBF" w:rsidRPr="007F6DBF" w:rsidRDefault="007F6DBF" w:rsidP="007F6DBF">
            <w:pPr>
              <w:jc w:val="right"/>
              <w:rPr>
                <w:b/>
                <w:bCs/>
                <w:color w:val="000000"/>
                <w:sz w:val="22"/>
                <w:szCs w:val="22"/>
              </w:rPr>
            </w:pPr>
            <w:r w:rsidRPr="007F6DBF">
              <w:rPr>
                <w:b/>
                <w:bCs/>
                <w:color w:val="000000"/>
                <w:sz w:val="22"/>
                <w:szCs w:val="22"/>
              </w:rPr>
              <w:t>100,0</w:t>
            </w:r>
          </w:p>
        </w:tc>
        <w:tc>
          <w:tcPr>
            <w:tcW w:w="443" w:type="pct"/>
            <w:tcBorders>
              <w:top w:val="nil"/>
              <w:left w:val="nil"/>
              <w:bottom w:val="single" w:sz="4" w:space="0" w:color="auto"/>
              <w:right w:val="single" w:sz="4" w:space="0" w:color="auto"/>
            </w:tcBorders>
            <w:shd w:val="clear" w:color="auto" w:fill="auto"/>
            <w:noWrap/>
            <w:vAlign w:val="center"/>
            <w:hideMark/>
          </w:tcPr>
          <w:p w:rsidR="007F6DBF" w:rsidRPr="007F6DBF" w:rsidRDefault="007F6DBF" w:rsidP="007F6DBF">
            <w:pPr>
              <w:jc w:val="right"/>
              <w:rPr>
                <w:b/>
                <w:bCs/>
                <w:color w:val="000000"/>
                <w:sz w:val="22"/>
                <w:szCs w:val="22"/>
              </w:rPr>
            </w:pPr>
            <w:r w:rsidRPr="007F6DBF">
              <w:rPr>
                <w:b/>
                <w:bCs/>
                <w:color w:val="000000"/>
                <w:sz w:val="22"/>
                <w:szCs w:val="22"/>
              </w:rPr>
              <w:t>2,8</w:t>
            </w:r>
          </w:p>
        </w:tc>
      </w:tr>
    </w:tbl>
    <w:p w:rsidR="007F6DBF" w:rsidRPr="007F6DBF" w:rsidRDefault="007F6DBF" w:rsidP="007F6DBF">
      <w:pPr>
        <w:tabs>
          <w:tab w:val="num" w:pos="0"/>
        </w:tabs>
        <w:ind w:firstLine="709"/>
        <w:jc w:val="both"/>
        <w:rPr>
          <w:highlight w:val="yellow"/>
        </w:rPr>
      </w:pPr>
    </w:p>
    <w:p w:rsidR="007F6DBF" w:rsidRPr="007F6DBF" w:rsidRDefault="007F6DBF" w:rsidP="007F6DBF">
      <w:pPr>
        <w:tabs>
          <w:tab w:val="num" w:pos="0"/>
        </w:tabs>
        <w:ind w:firstLine="709"/>
        <w:jc w:val="both"/>
      </w:pPr>
      <w:r w:rsidRPr="007F6DBF">
        <w:t xml:space="preserve">В 2014 году по отношению к 2013 году в целом по Обществу наблюдается рост потребления электроэнергии на 2,8%. Кроме того изменилась структура потребления по группам потребителей.  При этом рост потребления электроэнергии обусловлен ростом потерь в общей структуре потребления Общества. Так в 2014 году доля потерь компенсируемых сетевой компанией составила 28,7%, а в 2013 году этот показатель составлял 24,1% </w:t>
      </w:r>
    </w:p>
    <w:p w:rsidR="007F6DBF" w:rsidRPr="007F6DBF" w:rsidRDefault="007F6DBF" w:rsidP="00B16950">
      <w:pPr>
        <w:tabs>
          <w:tab w:val="num" w:pos="0"/>
        </w:tabs>
        <w:ind w:firstLine="709"/>
        <w:jc w:val="both"/>
      </w:pPr>
      <w:r w:rsidRPr="007F6DBF">
        <w:t>Доля потребления энергосбытовых компаний сократилась на 16%. По остальным группам конечных потребителей динамика полезного отпуска сложилась следующим образом:</w:t>
      </w:r>
    </w:p>
    <w:p w:rsidR="007F6DBF" w:rsidRPr="007F6DBF" w:rsidRDefault="007F6DBF" w:rsidP="00AE0E97">
      <w:pPr>
        <w:numPr>
          <w:ilvl w:val="0"/>
          <w:numId w:val="21"/>
        </w:numPr>
        <w:tabs>
          <w:tab w:val="num" w:pos="851"/>
        </w:tabs>
        <w:ind w:left="1134"/>
        <w:jc w:val="both"/>
      </w:pPr>
      <w:r w:rsidRPr="007F6DBF">
        <w:t>промышленные потребители – прирост 0,2%;</w:t>
      </w:r>
      <w:r w:rsidRPr="007F6DBF">
        <w:tab/>
      </w:r>
    </w:p>
    <w:p w:rsidR="007F6DBF" w:rsidRPr="007F6DBF" w:rsidRDefault="007F6DBF" w:rsidP="00AE0E97">
      <w:pPr>
        <w:numPr>
          <w:ilvl w:val="0"/>
          <w:numId w:val="21"/>
        </w:numPr>
        <w:tabs>
          <w:tab w:val="num" w:pos="851"/>
        </w:tabs>
        <w:ind w:left="1134"/>
        <w:jc w:val="both"/>
      </w:pPr>
      <w:r w:rsidRPr="007F6DBF">
        <w:t>непромышленные потребители – прирост 31,8%;</w:t>
      </w:r>
    </w:p>
    <w:p w:rsidR="007F6DBF" w:rsidRPr="007F6DBF" w:rsidRDefault="007F6DBF" w:rsidP="00AE0E97">
      <w:pPr>
        <w:numPr>
          <w:ilvl w:val="0"/>
          <w:numId w:val="21"/>
        </w:numPr>
        <w:tabs>
          <w:tab w:val="num" w:pos="851"/>
        </w:tabs>
        <w:ind w:left="1134"/>
        <w:jc w:val="both"/>
      </w:pPr>
      <w:r w:rsidRPr="007F6DBF">
        <w:t>сельскохозяйственные потребители – прирост 6,6%;</w:t>
      </w:r>
    </w:p>
    <w:p w:rsidR="007F6DBF" w:rsidRPr="007F6DBF" w:rsidRDefault="007F6DBF" w:rsidP="00AE0E97">
      <w:pPr>
        <w:numPr>
          <w:ilvl w:val="0"/>
          <w:numId w:val="21"/>
        </w:numPr>
        <w:tabs>
          <w:tab w:val="num" w:pos="851"/>
        </w:tabs>
        <w:ind w:left="1134"/>
        <w:jc w:val="both"/>
      </w:pPr>
      <w:r w:rsidRPr="007F6DBF">
        <w:t>население – прирост 30,3%;</w:t>
      </w:r>
    </w:p>
    <w:p w:rsidR="007F6DBF" w:rsidRPr="007F6DBF" w:rsidRDefault="007F6DBF" w:rsidP="00AE0E97">
      <w:pPr>
        <w:numPr>
          <w:ilvl w:val="0"/>
          <w:numId w:val="21"/>
        </w:numPr>
        <w:tabs>
          <w:tab w:val="num" w:pos="851"/>
        </w:tabs>
        <w:ind w:left="1134"/>
        <w:jc w:val="both"/>
      </w:pPr>
      <w:r w:rsidRPr="007F6DBF">
        <w:t>бюджетные потребители – прирост 14,6%;</w:t>
      </w:r>
    </w:p>
    <w:p w:rsidR="007F6DBF" w:rsidRPr="007F6DBF" w:rsidRDefault="007F6DBF" w:rsidP="00AE0E97">
      <w:pPr>
        <w:numPr>
          <w:ilvl w:val="0"/>
          <w:numId w:val="21"/>
        </w:numPr>
        <w:tabs>
          <w:tab w:val="num" w:pos="851"/>
        </w:tabs>
        <w:ind w:left="1134"/>
        <w:jc w:val="both"/>
      </w:pPr>
      <w:r w:rsidRPr="007F6DBF">
        <w:t>предприятия ЖКХ – прирост 101,7%.</w:t>
      </w:r>
    </w:p>
    <w:p w:rsidR="007F6DBF" w:rsidRDefault="007F6DBF" w:rsidP="00B16950">
      <w:pPr>
        <w:tabs>
          <w:tab w:val="left" w:pos="1134"/>
        </w:tabs>
        <w:ind w:firstLine="709"/>
        <w:jc w:val="both"/>
        <w:rPr>
          <w:rFonts w:cstheme="minorBidi"/>
        </w:rPr>
      </w:pPr>
      <w:r w:rsidRPr="007F6DBF">
        <w:t>Объем потерь ТСО в 2014 году в отношении к 2013 году вырос на 47,4%, это связано,</w:t>
      </w:r>
      <w:r w:rsidRPr="007F6DBF">
        <w:rPr>
          <w:rFonts w:asciiTheme="minorHAnsi" w:eastAsiaTheme="minorHAnsi" w:hAnsiTheme="minorHAnsi" w:cstheme="minorBidi"/>
          <w:sz w:val="22"/>
          <w:szCs w:val="22"/>
          <w:lang w:eastAsia="en-US"/>
        </w:rPr>
        <w:t xml:space="preserve"> с </w:t>
      </w:r>
      <w:r w:rsidRPr="007F6DBF">
        <w:t xml:space="preserve">вступлением в силу изменений Основных положений функционирования розничных рынков электрической энергии </w:t>
      </w:r>
      <w:r w:rsidRPr="007F6DBF">
        <w:rPr>
          <w:rFonts w:cstheme="minorBidi"/>
        </w:rPr>
        <w:t xml:space="preserve">согласно которых </w:t>
      </w:r>
      <w:r w:rsidRPr="007F6DBF">
        <w:t xml:space="preserve">с 1 июля 2013 года </w:t>
      </w:r>
      <w:r w:rsidRPr="007F6DBF">
        <w:rPr>
          <w:rFonts w:cstheme="minorBidi"/>
        </w:rPr>
        <w:t>сетевые организации вправе покупать электроэнергию для целей компенсации потерь электрической энергии (мощности) в принадлежащих ей объектах электросетевого хозяйства только у гарантирующего поставщика.</w:t>
      </w:r>
    </w:p>
    <w:p w:rsidR="007F6DBF" w:rsidRPr="007F6DBF" w:rsidRDefault="007F6DBF" w:rsidP="007F6DBF">
      <w:pPr>
        <w:tabs>
          <w:tab w:val="left" w:pos="1134"/>
        </w:tabs>
        <w:ind w:firstLine="709"/>
        <w:jc w:val="both"/>
        <w:rPr>
          <w:rFonts w:cstheme="minorBidi"/>
        </w:rPr>
      </w:pPr>
    </w:p>
    <w:p w:rsidR="007F6DBF" w:rsidRPr="007F6DBF" w:rsidRDefault="007F6DBF" w:rsidP="007F6DBF">
      <w:pPr>
        <w:jc w:val="both"/>
        <w:rPr>
          <w:sz w:val="14"/>
        </w:rPr>
      </w:pPr>
    </w:p>
    <w:p w:rsidR="007F6DBF" w:rsidRPr="007F6DBF" w:rsidRDefault="007F6DBF" w:rsidP="007F6DBF">
      <w:pPr>
        <w:jc w:val="both"/>
        <w:rPr>
          <w:sz w:val="14"/>
        </w:rPr>
      </w:pPr>
    </w:p>
    <w:p w:rsidR="007F6DBF" w:rsidRPr="007F6DBF" w:rsidRDefault="007F6DBF" w:rsidP="007F6DBF">
      <w:pPr>
        <w:jc w:val="both"/>
        <w:rPr>
          <w:sz w:val="14"/>
        </w:rPr>
      </w:pPr>
    </w:p>
    <w:p w:rsidR="007F6DBF" w:rsidRPr="007F6DBF" w:rsidRDefault="007F6DBF" w:rsidP="007F6DBF">
      <w:pPr>
        <w:jc w:val="both"/>
        <w:rPr>
          <w:sz w:val="14"/>
        </w:rPr>
      </w:pPr>
    </w:p>
    <w:p w:rsidR="007F6DBF" w:rsidRPr="007F6DBF" w:rsidRDefault="007F6DBF" w:rsidP="007F6DBF">
      <w:pPr>
        <w:tabs>
          <w:tab w:val="num" w:pos="0"/>
        </w:tabs>
        <w:jc w:val="center"/>
      </w:pPr>
    </w:p>
    <w:p w:rsidR="007F6DBF" w:rsidRPr="007F6DBF" w:rsidRDefault="007F6DBF" w:rsidP="007F6DBF">
      <w:pPr>
        <w:tabs>
          <w:tab w:val="num" w:pos="0"/>
        </w:tabs>
        <w:jc w:val="center"/>
      </w:pPr>
      <w:r w:rsidRPr="007F6DBF">
        <w:rPr>
          <w:noProof/>
        </w:rPr>
        <w:lastRenderedPageBreak/>
        <w:drawing>
          <wp:inline distT="0" distB="0" distL="0" distR="0" wp14:anchorId="618BECCC" wp14:editId="50084851">
            <wp:extent cx="6003985" cy="3269411"/>
            <wp:effectExtent l="0" t="0" r="15875" b="2667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7F6DBF" w:rsidRPr="007F6DBF" w:rsidRDefault="007F6DBF" w:rsidP="007F6DBF">
      <w:pPr>
        <w:tabs>
          <w:tab w:val="num" w:pos="0"/>
        </w:tabs>
        <w:jc w:val="center"/>
      </w:pPr>
      <w:r>
        <w:t>Диаграмма</w:t>
      </w:r>
      <w:r w:rsidRPr="007F6DBF">
        <w:t>. Динамика потребления по группам потребителей за 2012-2014 гг., млн. кВт.ч</w:t>
      </w:r>
    </w:p>
    <w:p w:rsidR="007F6DBF" w:rsidRDefault="007F6DBF" w:rsidP="00B16950">
      <w:pPr>
        <w:tabs>
          <w:tab w:val="num" w:pos="0"/>
        </w:tabs>
        <w:suppressAutoHyphens/>
        <w:ind w:firstLine="709"/>
        <w:jc w:val="both"/>
      </w:pPr>
    </w:p>
    <w:p w:rsidR="007F6DBF" w:rsidRPr="007F6DBF" w:rsidRDefault="007F6DBF" w:rsidP="00B16950">
      <w:pPr>
        <w:tabs>
          <w:tab w:val="num" w:pos="0"/>
        </w:tabs>
        <w:suppressAutoHyphens/>
        <w:ind w:firstLine="709"/>
        <w:jc w:val="both"/>
      </w:pPr>
      <w:r w:rsidRPr="007F6DBF">
        <w:t>Оплата поставленной электроэнергии с учетом компенсации потерь сетевыми компаниями в отчетном году составила 97,8%, уровень реализации электроэнергии конечным потребителям – 96,7%. Оплата за потребленную электроэнергию на протяжении последних лет находится на уровне близком к 100%, а по некоторым группам потребителей выше 100%. Так, потребители промышленной группы, в 2014 году вышли на уровень 99,9%, непромышленные потребители – 100,1%, сельскохозяйственные потребители – 101,1%. По прежнему низкий уровень оплаты и платежной дисциплины складывается по потребителям жилищно-коммунального хозяйства – 81,2%.</w:t>
      </w:r>
    </w:p>
    <w:p w:rsidR="007F6DBF" w:rsidRPr="007F6DBF" w:rsidRDefault="007F6DBF" w:rsidP="00B16950">
      <w:pPr>
        <w:autoSpaceDE w:val="0"/>
        <w:autoSpaceDN w:val="0"/>
        <w:adjustRightInd w:val="0"/>
        <w:ind w:firstLine="708"/>
        <w:jc w:val="both"/>
        <w:outlineLvl w:val="0"/>
      </w:pPr>
      <w:r w:rsidRPr="007F6DBF">
        <w:t>Объем продаж на розничном рынке в 2014 году по отношению к 2013 году увеличился на 879,0 млн.руб. или 25,7%. Общий объем реализации в 2014 году по отношению к 2013 году увеличился  на 813,1 млн. руб. или 24,3%. Снижение уровня реализации в 2014 году по отношению к 2013 году наблюдается в группах потребителей: «Предприятия ЖКХ» на 6,7%, «Население» на 0,8%.</w:t>
      </w:r>
    </w:p>
    <w:p w:rsidR="007F6DBF" w:rsidRPr="007F6DBF" w:rsidRDefault="007F6DBF" w:rsidP="00B16950">
      <w:pPr>
        <w:autoSpaceDE w:val="0"/>
        <w:autoSpaceDN w:val="0"/>
        <w:adjustRightInd w:val="0"/>
        <w:ind w:firstLine="709"/>
        <w:jc w:val="both"/>
        <w:outlineLvl w:val="0"/>
      </w:pPr>
      <w:r w:rsidRPr="007F6DBF">
        <w:t>Объем потерь, компенсируемых РСК, в 2014 году в сравнении с 2013 годом вырос на 68,0 млн.руб. и составил 293,1 млн.руб., объем потерь, компенсируемых ТСО так же вырос на 88,9 млн.руб. и составил 257,2 млн.руб.  Вместе с этим, уровень реализации потерь РСК в 2014 году в сравнении с 2013 годом сократился на 19,3%</w:t>
      </w:r>
      <w:r w:rsidRPr="007F6DBF">
        <w:rPr>
          <w:rFonts w:asciiTheme="minorHAnsi" w:eastAsiaTheme="minorHAnsi" w:hAnsiTheme="minorHAnsi" w:cstheme="minorBidi"/>
          <w:sz w:val="22"/>
          <w:szCs w:val="22"/>
          <w:lang w:eastAsia="en-US"/>
        </w:rPr>
        <w:t xml:space="preserve">, а </w:t>
      </w:r>
      <w:r w:rsidRPr="007F6DBF">
        <w:t>уровень реализации потерь ТСО – на 54,4%.</w:t>
      </w:r>
    </w:p>
    <w:p w:rsidR="007F6DBF" w:rsidRPr="007F6DBF" w:rsidRDefault="007F6DBF" w:rsidP="00B16950">
      <w:pPr>
        <w:autoSpaceDE w:val="0"/>
        <w:autoSpaceDN w:val="0"/>
        <w:adjustRightInd w:val="0"/>
        <w:ind w:firstLine="708"/>
        <w:jc w:val="both"/>
        <w:outlineLvl w:val="0"/>
      </w:pPr>
      <w:r w:rsidRPr="007F6DBF">
        <w:t>Дебиторская задолженность за потребленную электроэнергию с учетом компенсации потерь сетевыми компаниями по состоянию на 31.12.2014г. составила 430,3 млн. руб. В том числе, дебиторская задолженность конечных потребителей за потребленную электроэнергию составила 399,6 млн. руб.</w:t>
      </w:r>
    </w:p>
    <w:p w:rsidR="007F6DBF" w:rsidRDefault="007F6DBF" w:rsidP="00B16950">
      <w:pPr>
        <w:autoSpaceDE w:val="0"/>
        <w:autoSpaceDN w:val="0"/>
        <w:adjustRightInd w:val="0"/>
        <w:ind w:firstLine="709"/>
        <w:jc w:val="both"/>
        <w:outlineLvl w:val="0"/>
      </w:pPr>
      <w:r w:rsidRPr="007F6DBF">
        <w:t>Рост дебиторской задолженности за потребленную электроэнергию в целом по Обществу вырос на 132,3 млн. руб. или на 44,4%.</w:t>
      </w:r>
    </w:p>
    <w:p w:rsidR="007F6DBF" w:rsidRPr="007F6DBF" w:rsidRDefault="007F6DBF" w:rsidP="00B16950">
      <w:pPr>
        <w:autoSpaceDE w:val="0"/>
        <w:autoSpaceDN w:val="0"/>
        <w:adjustRightInd w:val="0"/>
        <w:ind w:firstLine="709"/>
        <w:jc w:val="both"/>
        <w:outlineLvl w:val="0"/>
      </w:pPr>
      <w:r w:rsidRPr="007F6DBF">
        <w:t>Дебиторская задолженность за потребленную электроэнергию конечных потребителей в 2014 году увеличилась на 108,7 млн. руб. или на 37,4%. Основной долг вырос по группе потребителей предприятий жилищно-коммунального хозяйства на 103,6 млн. руб. и по группе потребителей «Население» на 14,7 млн. руб.</w:t>
      </w:r>
    </w:p>
    <w:p w:rsidR="007F6DBF" w:rsidRDefault="007F6DBF" w:rsidP="00B16950">
      <w:pPr>
        <w:autoSpaceDE w:val="0"/>
        <w:autoSpaceDN w:val="0"/>
        <w:adjustRightInd w:val="0"/>
        <w:ind w:firstLine="709"/>
        <w:jc w:val="both"/>
        <w:outlineLvl w:val="0"/>
      </w:pPr>
    </w:p>
    <w:p w:rsidR="007F6DBF" w:rsidRPr="007F6DBF" w:rsidRDefault="007F6DBF" w:rsidP="00B16950">
      <w:pPr>
        <w:autoSpaceDE w:val="0"/>
        <w:autoSpaceDN w:val="0"/>
        <w:adjustRightInd w:val="0"/>
        <w:ind w:firstLine="709"/>
        <w:jc w:val="both"/>
        <w:outlineLvl w:val="0"/>
      </w:pPr>
      <w:r w:rsidRPr="007F6DBF">
        <w:lastRenderedPageBreak/>
        <w:t>Задолженность сетевых компаний по расчетам за компенсацию потерь в 2014 году увеличилась на 23,5 млн. руб. или на 331,6%. При этом произошло увеличение задолженности по расчетам за компенсацию потерь РСК на 22,8 млн. руб.</w:t>
      </w:r>
    </w:p>
    <w:p w:rsidR="007F6DBF" w:rsidRPr="007F6DBF" w:rsidRDefault="007F6DBF" w:rsidP="007F6DBF">
      <w:pPr>
        <w:numPr>
          <w:ilvl w:val="1"/>
          <w:numId w:val="0"/>
        </w:numPr>
        <w:tabs>
          <w:tab w:val="num" w:pos="0"/>
        </w:tabs>
        <w:autoSpaceDE w:val="0"/>
        <w:autoSpaceDN w:val="0"/>
        <w:adjustRightInd w:val="0"/>
        <w:spacing w:before="100" w:beforeAutospacing="1" w:after="100" w:afterAutospacing="1"/>
        <w:jc w:val="both"/>
        <w:rPr>
          <w:b/>
        </w:rPr>
      </w:pPr>
      <w:r w:rsidRPr="007F6DBF">
        <w:tab/>
      </w:r>
      <w:r w:rsidRPr="007F6DBF">
        <w:rPr>
          <w:b/>
        </w:rPr>
        <w:t>Динамика дебиторской задолженности за потребленную электроэнергию</w:t>
      </w:r>
    </w:p>
    <w:tbl>
      <w:tblPr>
        <w:tblW w:w="0" w:type="auto"/>
        <w:jc w:val="center"/>
        <w:tblInd w:w="-398" w:type="dxa"/>
        <w:tblCellMar>
          <w:left w:w="28" w:type="dxa"/>
          <w:right w:w="28" w:type="dxa"/>
        </w:tblCellMar>
        <w:tblLook w:val="04A0" w:firstRow="1" w:lastRow="0" w:firstColumn="1" w:lastColumn="0" w:noHBand="0" w:noVBand="1"/>
      </w:tblPr>
      <w:tblGrid>
        <w:gridCol w:w="2213"/>
        <w:gridCol w:w="866"/>
        <w:gridCol w:w="777"/>
        <w:gridCol w:w="960"/>
        <w:gridCol w:w="827"/>
        <w:gridCol w:w="872"/>
        <w:gridCol w:w="764"/>
        <w:gridCol w:w="740"/>
        <w:gridCol w:w="473"/>
        <w:gridCol w:w="759"/>
        <w:gridCol w:w="461"/>
      </w:tblGrid>
      <w:tr w:rsidR="007F6DBF" w:rsidRPr="007F6DBF" w:rsidTr="002F2EE5">
        <w:trPr>
          <w:jc w:val="center"/>
        </w:trPr>
        <w:tc>
          <w:tcPr>
            <w:tcW w:w="2213"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Наименование группы</w:t>
            </w:r>
          </w:p>
        </w:tc>
        <w:tc>
          <w:tcPr>
            <w:tcW w:w="866"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 xml:space="preserve">на 31.12.2012 </w:t>
            </w:r>
          </w:p>
        </w:tc>
        <w:tc>
          <w:tcPr>
            <w:tcW w:w="777"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списание "мертвой ДЗ" за 2012 год</w:t>
            </w:r>
          </w:p>
        </w:tc>
        <w:tc>
          <w:tcPr>
            <w:tcW w:w="960"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на 31.12.2013</w:t>
            </w:r>
          </w:p>
        </w:tc>
        <w:tc>
          <w:tcPr>
            <w:tcW w:w="827"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списание "мертвой ДЗ" за 2013 год</w:t>
            </w:r>
          </w:p>
        </w:tc>
        <w:tc>
          <w:tcPr>
            <w:tcW w:w="872"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на 31.12.2014</w:t>
            </w:r>
          </w:p>
        </w:tc>
        <w:tc>
          <w:tcPr>
            <w:tcW w:w="764" w:type="dxa"/>
            <w:tcBorders>
              <w:top w:val="single" w:sz="8" w:space="0" w:color="auto"/>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списание "мертвой ДЗ" за 2014 год</w:t>
            </w:r>
          </w:p>
        </w:tc>
        <w:tc>
          <w:tcPr>
            <w:tcW w:w="1213" w:type="dxa"/>
            <w:gridSpan w:val="2"/>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рост/ снижение за 2013</w:t>
            </w:r>
          </w:p>
        </w:tc>
        <w:tc>
          <w:tcPr>
            <w:tcW w:w="1220" w:type="dxa"/>
            <w:gridSpan w:val="2"/>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рост/ снижение за 2014</w:t>
            </w:r>
          </w:p>
        </w:tc>
      </w:tr>
      <w:tr w:rsidR="007F6DBF" w:rsidRPr="007F6DBF" w:rsidTr="002F2EE5">
        <w:trPr>
          <w:jc w:val="center"/>
        </w:trPr>
        <w:tc>
          <w:tcPr>
            <w:tcW w:w="2213" w:type="dxa"/>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suppressAutoHyphens/>
              <w:rPr>
                <w:color w:val="000000"/>
                <w:sz w:val="18"/>
                <w:szCs w:val="18"/>
              </w:rPr>
            </w:pPr>
          </w:p>
        </w:tc>
        <w:tc>
          <w:tcPr>
            <w:tcW w:w="866"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777"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960"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827"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872"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764"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740"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473" w:type="dxa"/>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млн. руб.</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center"/>
              <w:rPr>
                <w:color w:val="000000"/>
                <w:sz w:val="18"/>
                <w:szCs w:val="18"/>
              </w:rPr>
            </w:pPr>
            <w:r w:rsidRPr="007F6DBF">
              <w:rPr>
                <w:color w:val="000000"/>
                <w:sz w:val="18"/>
                <w:szCs w:val="18"/>
              </w:rPr>
              <w:t>%</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Промышленность</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70,1</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72,1</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72,9</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0,3</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2,0</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2,9</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0,8</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1,2</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Непромышленные</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21,3</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0,03</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23,1</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21,5</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1,9</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9,0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-1,6</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-6,8</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Энергосбытовые компании</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10,7</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10,6</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10,7</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ОАО "Нальчикэнергосбыт"</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10,7</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10,6</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10,7</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ОАО "ЭСК" г.Прохладный</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0,0</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Сельское хозяйство</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39,4</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14,21</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26,2</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13,3</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19,4</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5,2</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-13,2</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-33,5</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-6,8</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-25,8</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Население</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34,6</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39,6</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0,2</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54,3</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5,0</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14,5</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14,7</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37,1</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Федеральный бюджет</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9,5</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16,6</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15,3</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7,1</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74,7</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-1,3</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-7,6</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Местный бюджет</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18,2</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30,6</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29,6</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12,4</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68,1</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-3,2</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Предприятия ЖКХ в т.ч.</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58,4</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6,79</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72,2</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19,6</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175,8</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1,2</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13,7</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23,4</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103,6</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143,5</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МУП "Коммунальник"</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7,5</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7,5</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7,5</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0,2</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УК «Водоканал»</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8,1</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23,7</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97,4</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i/>
                <w:iCs/>
                <w:color w:val="000000"/>
                <w:sz w:val="18"/>
                <w:szCs w:val="18"/>
              </w:rPr>
            </w:pPr>
            <w:r w:rsidRPr="007F6DBF">
              <w:rPr>
                <w:i/>
                <w:iCs/>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15,6</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192,6</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73,7</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311,2</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suppressAutoHyphens/>
              <w:rPr>
                <w:b/>
                <w:bCs/>
                <w:color w:val="000000"/>
                <w:sz w:val="18"/>
                <w:szCs w:val="18"/>
              </w:rPr>
            </w:pPr>
            <w:r w:rsidRPr="007F6DBF">
              <w:rPr>
                <w:b/>
                <w:bCs/>
                <w:color w:val="000000"/>
                <w:sz w:val="18"/>
                <w:szCs w:val="18"/>
              </w:rPr>
              <w:t>Итого по конечным потребителям:</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251,5</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21</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290,9</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33,1</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399,6</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7,8</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39,4</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15,7</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108,7</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37,4</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b/>
                <w:bCs/>
                <w:color w:val="000000"/>
                <w:sz w:val="18"/>
                <w:szCs w:val="18"/>
              </w:rPr>
            </w:pPr>
            <w:r w:rsidRPr="007F6DBF">
              <w:rPr>
                <w:b/>
                <w:bCs/>
                <w:color w:val="000000"/>
                <w:sz w:val="18"/>
                <w:szCs w:val="18"/>
              </w:rPr>
              <w:t>Потери всего:</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6,3</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7,1</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30,6</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0,8</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12,7</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23,5</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331,6</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Потери РСК</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6,3</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4,9</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27,7</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-1,4</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-22,2</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22,8</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464,7</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color w:val="000000"/>
                <w:sz w:val="18"/>
                <w:szCs w:val="18"/>
              </w:rPr>
            </w:pPr>
            <w:r w:rsidRPr="007F6DBF">
              <w:rPr>
                <w:color w:val="000000"/>
                <w:sz w:val="18"/>
                <w:szCs w:val="18"/>
              </w:rPr>
              <w:t>Потери ТСО</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2,2</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3,0</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2,2</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0,0</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0,8</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color w:val="000000"/>
                <w:sz w:val="18"/>
                <w:szCs w:val="18"/>
              </w:rPr>
            </w:pPr>
            <w:r w:rsidRPr="007F6DBF">
              <w:rPr>
                <w:color w:val="000000"/>
                <w:sz w:val="18"/>
                <w:szCs w:val="18"/>
              </w:rPr>
              <w:t>35,1</w:t>
            </w:r>
          </w:p>
        </w:tc>
      </w:tr>
      <w:tr w:rsidR="007F6DBF" w:rsidRPr="007F6DBF" w:rsidTr="002F2EE5">
        <w:trPr>
          <w:jc w:val="center"/>
        </w:trPr>
        <w:tc>
          <w:tcPr>
            <w:tcW w:w="2213" w:type="dxa"/>
            <w:tcBorders>
              <w:top w:val="nil"/>
              <w:left w:val="single" w:sz="8" w:space="0" w:color="auto"/>
              <w:bottom w:val="single" w:sz="8" w:space="0" w:color="auto"/>
              <w:right w:val="single" w:sz="8" w:space="0" w:color="auto"/>
            </w:tcBorders>
            <w:shd w:val="clear" w:color="auto" w:fill="auto"/>
            <w:noWrap/>
            <w:vAlign w:val="center"/>
            <w:hideMark/>
          </w:tcPr>
          <w:p w:rsidR="007F6DBF" w:rsidRPr="007F6DBF" w:rsidRDefault="007F6DBF" w:rsidP="007F6DBF">
            <w:pPr>
              <w:suppressAutoHyphens/>
              <w:rPr>
                <w:b/>
                <w:bCs/>
                <w:color w:val="000000"/>
                <w:sz w:val="18"/>
                <w:szCs w:val="18"/>
              </w:rPr>
            </w:pPr>
            <w:r w:rsidRPr="007F6DBF">
              <w:rPr>
                <w:b/>
                <w:bCs/>
                <w:color w:val="000000"/>
                <w:sz w:val="18"/>
                <w:szCs w:val="18"/>
              </w:rPr>
              <w:t>Итого:</w:t>
            </w:r>
          </w:p>
        </w:tc>
        <w:tc>
          <w:tcPr>
            <w:tcW w:w="866"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257,8</w:t>
            </w:r>
          </w:p>
        </w:tc>
        <w:tc>
          <w:tcPr>
            <w:tcW w:w="77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21</w:t>
            </w:r>
          </w:p>
        </w:tc>
        <w:tc>
          <w:tcPr>
            <w:tcW w:w="96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298,0</w:t>
            </w:r>
          </w:p>
        </w:tc>
        <w:tc>
          <w:tcPr>
            <w:tcW w:w="827"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33,1</w:t>
            </w:r>
          </w:p>
        </w:tc>
        <w:tc>
          <w:tcPr>
            <w:tcW w:w="872"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430,3</w:t>
            </w:r>
          </w:p>
        </w:tc>
        <w:tc>
          <w:tcPr>
            <w:tcW w:w="764"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7,8</w:t>
            </w:r>
          </w:p>
        </w:tc>
        <w:tc>
          <w:tcPr>
            <w:tcW w:w="740"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40,2</w:t>
            </w:r>
          </w:p>
        </w:tc>
        <w:tc>
          <w:tcPr>
            <w:tcW w:w="473"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15,6</w:t>
            </w:r>
          </w:p>
        </w:tc>
        <w:tc>
          <w:tcPr>
            <w:tcW w:w="759"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132,3</w:t>
            </w:r>
          </w:p>
        </w:tc>
        <w:tc>
          <w:tcPr>
            <w:tcW w:w="461" w:type="dxa"/>
            <w:tcBorders>
              <w:top w:val="nil"/>
              <w:left w:val="nil"/>
              <w:bottom w:val="single" w:sz="8" w:space="0" w:color="auto"/>
              <w:right w:val="single" w:sz="8" w:space="0" w:color="auto"/>
            </w:tcBorders>
            <w:shd w:val="clear" w:color="auto" w:fill="auto"/>
            <w:noWrap/>
            <w:vAlign w:val="center"/>
            <w:hideMark/>
          </w:tcPr>
          <w:p w:rsidR="007F6DBF" w:rsidRPr="007F6DBF" w:rsidRDefault="007F6DBF" w:rsidP="007F6DBF">
            <w:pPr>
              <w:suppressAutoHyphens/>
              <w:jc w:val="right"/>
              <w:rPr>
                <w:b/>
                <w:bCs/>
                <w:color w:val="000000"/>
                <w:sz w:val="18"/>
                <w:szCs w:val="18"/>
              </w:rPr>
            </w:pPr>
            <w:r w:rsidRPr="007F6DBF">
              <w:rPr>
                <w:b/>
                <w:bCs/>
                <w:color w:val="000000"/>
                <w:sz w:val="18"/>
                <w:szCs w:val="18"/>
              </w:rPr>
              <w:t>44,4</w:t>
            </w:r>
          </w:p>
        </w:tc>
      </w:tr>
    </w:tbl>
    <w:p w:rsidR="00B16950" w:rsidRDefault="007F6DBF" w:rsidP="00B16950">
      <w:pPr>
        <w:numPr>
          <w:ilvl w:val="1"/>
          <w:numId w:val="0"/>
        </w:numPr>
        <w:tabs>
          <w:tab w:val="num" w:pos="0"/>
        </w:tabs>
        <w:autoSpaceDE w:val="0"/>
        <w:autoSpaceDN w:val="0"/>
        <w:adjustRightInd w:val="0"/>
        <w:jc w:val="both"/>
      </w:pPr>
      <w:r w:rsidRPr="007F6DBF">
        <w:tab/>
      </w:r>
    </w:p>
    <w:p w:rsidR="007F6DBF" w:rsidRPr="007F6DBF" w:rsidRDefault="007F6DBF" w:rsidP="00B16950">
      <w:pPr>
        <w:numPr>
          <w:ilvl w:val="1"/>
          <w:numId w:val="0"/>
        </w:numPr>
        <w:tabs>
          <w:tab w:val="num" w:pos="0"/>
        </w:tabs>
        <w:autoSpaceDE w:val="0"/>
        <w:autoSpaceDN w:val="0"/>
        <w:adjustRightInd w:val="0"/>
        <w:ind w:firstLine="709"/>
        <w:jc w:val="both"/>
      </w:pPr>
      <w:r w:rsidRPr="007F6DBF">
        <w:t>В 2014 году списано нереальной к взысканию дебиторской задолженности на сумму 7,8 млн. руб.</w:t>
      </w:r>
    </w:p>
    <w:p w:rsidR="007F6DBF" w:rsidRPr="007F6DBF" w:rsidRDefault="007F6DBF" w:rsidP="00B16950">
      <w:pPr>
        <w:numPr>
          <w:ilvl w:val="1"/>
          <w:numId w:val="0"/>
        </w:numPr>
        <w:tabs>
          <w:tab w:val="num" w:pos="0"/>
        </w:tabs>
        <w:autoSpaceDE w:val="0"/>
        <w:autoSpaceDN w:val="0"/>
        <w:adjustRightInd w:val="0"/>
        <w:jc w:val="both"/>
      </w:pPr>
      <w:r w:rsidRPr="007F6DBF">
        <w:tab/>
        <w:t>Структура дебиторской задолженности за потребленную электроэнергию с учетом компенсации потерь сетевыми компаниями следующая:</w:t>
      </w:r>
    </w:p>
    <w:p w:rsidR="007F6DBF" w:rsidRPr="007F6DBF" w:rsidRDefault="007F6DBF" w:rsidP="00B16950">
      <w:pPr>
        <w:numPr>
          <w:ilvl w:val="1"/>
          <w:numId w:val="0"/>
        </w:numPr>
        <w:tabs>
          <w:tab w:val="num" w:pos="0"/>
        </w:tabs>
        <w:autoSpaceDE w:val="0"/>
        <w:autoSpaceDN w:val="0"/>
        <w:adjustRightInd w:val="0"/>
        <w:jc w:val="both"/>
      </w:pPr>
      <w:r w:rsidRPr="007F6DBF">
        <w:tab/>
        <w:t>- текущая задолженность – 160,1 млн. руб.;</w:t>
      </w:r>
    </w:p>
    <w:p w:rsidR="007F6DBF" w:rsidRPr="00B16950" w:rsidRDefault="007F6DBF" w:rsidP="00B16950">
      <w:pPr>
        <w:numPr>
          <w:ilvl w:val="1"/>
          <w:numId w:val="0"/>
        </w:numPr>
        <w:tabs>
          <w:tab w:val="num" w:pos="0"/>
        </w:tabs>
        <w:autoSpaceDE w:val="0"/>
        <w:autoSpaceDN w:val="0"/>
        <w:adjustRightInd w:val="0"/>
        <w:jc w:val="both"/>
      </w:pPr>
      <w:r w:rsidRPr="007F6DBF">
        <w:tab/>
        <w:t xml:space="preserve">- просроченная </w:t>
      </w:r>
      <w:r w:rsidR="00B16950">
        <w:t>задолженность – 270,2 млн. руб.</w:t>
      </w:r>
    </w:p>
    <w:p w:rsidR="00B16950" w:rsidRPr="00C43539" w:rsidRDefault="00B16950" w:rsidP="00B16950">
      <w:pPr>
        <w:numPr>
          <w:ilvl w:val="1"/>
          <w:numId w:val="0"/>
        </w:numPr>
        <w:tabs>
          <w:tab w:val="num" w:pos="0"/>
        </w:tabs>
        <w:autoSpaceDE w:val="0"/>
        <w:autoSpaceDN w:val="0"/>
        <w:adjustRightInd w:val="0"/>
        <w:jc w:val="center"/>
        <w:rPr>
          <w:b/>
          <w:sz w:val="16"/>
          <w:szCs w:val="16"/>
        </w:rPr>
      </w:pPr>
    </w:p>
    <w:p w:rsidR="007F6DBF" w:rsidRPr="007F6DBF" w:rsidRDefault="007F6DBF" w:rsidP="00B16950">
      <w:pPr>
        <w:numPr>
          <w:ilvl w:val="1"/>
          <w:numId w:val="0"/>
        </w:numPr>
        <w:tabs>
          <w:tab w:val="num" w:pos="0"/>
        </w:tabs>
        <w:autoSpaceDE w:val="0"/>
        <w:autoSpaceDN w:val="0"/>
        <w:adjustRightInd w:val="0"/>
        <w:jc w:val="center"/>
        <w:rPr>
          <w:b/>
        </w:rPr>
      </w:pPr>
      <w:r w:rsidRPr="007F6DBF">
        <w:rPr>
          <w:b/>
        </w:rPr>
        <w:t>Структура дебиторской задолженности за потребленную электроэнергию по состоянию на 31.12.2014 года, тыс. руб. с НДС</w:t>
      </w:r>
    </w:p>
    <w:tbl>
      <w:tblPr>
        <w:tblW w:w="5000" w:type="pct"/>
        <w:tblLook w:val="04A0" w:firstRow="1" w:lastRow="0" w:firstColumn="1" w:lastColumn="0" w:noHBand="0" w:noVBand="1"/>
      </w:tblPr>
      <w:tblGrid>
        <w:gridCol w:w="2190"/>
        <w:gridCol w:w="823"/>
        <w:gridCol w:w="885"/>
        <w:gridCol w:w="881"/>
        <w:gridCol w:w="625"/>
        <w:gridCol w:w="1270"/>
        <w:gridCol w:w="818"/>
        <w:gridCol w:w="1108"/>
        <w:gridCol w:w="1073"/>
      </w:tblGrid>
      <w:tr w:rsidR="007F6DBF" w:rsidRPr="007F6DBF" w:rsidTr="002F2EE5">
        <w:trPr>
          <w:trHeight w:val="315"/>
          <w:tblHeader/>
        </w:trPr>
        <w:tc>
          <w:tcPr>
            <w:tcW w:w="117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Отрасль</w:t>
            </w:r>
          </w:p>
        </w:tc>
        <w:tc>
          <w:tcPr>
            <w:tcW w:w="45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Дебит. задолж-ть всего</w:t>
            </w:r>
          </w:p>
        </w:tc>
        <w:tc>
          <w:tcPr>
            <w:tcW w:w="3371" w:type="pct"/>
            <w:gridSpan w:val="7"/>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в том числе</w:t>
            </w:r>
          </w:p>
        </w:tc>
      </w:tr>
      <w:tr w:rsidR="007F6DBF" w:rsidRPr="007F6DBF" w:rsidTr="002F2EE5">
        <w:trPr>
          <w:trHeight w:val="315"/>
          <w:tblHeader/>
        </w:trPr>
        <w:tc>
          <w:tcPr>
            <w:tcW w:w="1175"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4"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val="restart"/>
            <w:tcBorders>
              <w:top w:val="nil"/>
              <w:left w:val="single" w:sz="8" w:space="0" w:color="auto"/>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Текущая</w:t>
            </w:r>
          </w:p>
        </w:tc>
        <w:tc>
          <w:tcPr>
            <w:tcW w:w="2912" w:type="pct"/>
            <w:gridSpan w:val="6"/>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Просроченная</w:t>
            </w:r>
          </w:p>
        </w:tc>
      </w:tr>
      <w:tr w:rsidR="007F6DBF" w:rsidRPr="007F6DBF" w:rsidTr="002F2EE5">
        <w:trPr>
          <w:trHeight w:val="315"/>
          <w:tblHeader/>
        </w:trPr>
        <w:tc>
          <w:tcPr>
            <w:tcW w:w="1175"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4"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val="restart"/>
            <w:tcBorders>
              <w:top w:val="nil"/>
              <w:left w:val="single" w:sz="8" w:space="0" w:color="auto"/>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всего</w:t>
            </w:r>
          </w:p>
        </w:tc>
        <w:tc>
          <w:tcPr>
            <w:tcW w:w="2454" w:type="pct"/>
            <w:gridSpan w:val="5"/>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в том числе</w:t>
            </w:r>
          </w:p>
        </w:tc>
      </w:tr>
      <w:tr w:rsidR="007F6DBF" w:rsidRPr="007F6DBF" w:rsidTr="002F2EE5">
        <w:trPr>
          <w:trHeight w:val="315"/>
          <w:tblHeader/>
        </w:trPr>
        <w:tc>
          <w:tcPr>
            <w:tcW w:w="1175"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4"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1468" w:type="pct"/>
            <w:gridSpan w:val="3"/>
            <w:tcBorders>
              <w:top w:val="single" w:sz="8" w:space="0" w:color="auto"/>
              <w:left w:val="nil"/>
              <w:bottom w:val="single" w:sz="8" w:space="0" w:color="auto"/>
              <w:right w:val="single" w:sz="8" w:space="0" w:color="000000"/>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рабочая</w:t>
            </w:r>
          </w:p>
        </w:tc>
        <w:tc>
          <w:tcPr>
            <w:tcW w:w="501" w:type="pct"/>
            <w:vMerge w:val="restart"/>
            <w:tcBorders>
              <w:top w:val="nil"/>
              <w:left w:val="nil"/>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мораторная</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нереальная к взысканию (мертвая)</w:t>
            </w:r>
          </w:p>
        </w:tc>
      </w:tr>
      <w:tr w:rsidR="007F6DBF" w:rsidRPr="007F6DBF" w:rsidTr="002F2EE5">
        <w:trPr>
          <w:trHeight w:val="735"/>
          <w:tblHeader/>
        </w:trPr>
        <w:tc>
          <w:tcPr>
            <w:tcW w:w="1175"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4" w:type="pct"/>
            <w:vMerge/>
            <w:tcBorders>
              <w:top w:val="single" w:sz="8" w:space="0" w:color="auto"/>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58"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всего в т.ч.</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реструкту-ризированная</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исковая</w:t>
            </w:r>
          </w:p>
        </w:tc>
        <w:tc>
          <w:tcPr>
            <w:tcW w:w="501" w:type="pct"/>
            <w:vMerge/>
            <w:tcBorders>
              <w:top w:val="nil"/>
              <w:left w:val="nil"/>
              <w:bottom w:val="single" w:sz="8" w:space="0" w:color="000000"/>
              <w:right w:val="single" w:sz="8" w:space="0" w:color="auto"/>
            </w:tcBorders>
            <w:vAlign w:val="center"/>
            <w:hideMark/>
          </w:tcPr>
          <w:p w:rsidR="007F6DBF" w:rsidRPr="007F6DBF" w:rsidRDefault="007F6DBF" w:rsidP="007F6DBF">
            <w:pPr>
              <w:rPr>
                <w:color w:val="000000"/>
                <w:sz w:val="18"/>
                <w:szCs w:val="18"/>
              </w:rPr>
            </w:pPr>
          </w:p>
        </w:tc>
        <w:tc>
          <w:tcPr>
            <w:tcW w:w="485" w:type="pct"/>
            <w:vMerge/>
            <w:tcBorders>
              <w:top w:val="nil"/>
              <w:left w:val="single" w:sz="8" w:space="0" w:color="auto"/>
              <w:bottom w:val="single" w:sz="8" w:space="0" w:color="000000"/>
              <w:right w:val="single" w:sz="8" w:space="0" w:color="auto"/>
            </w:tcBorders>
            <w:vAlign w:val="center"/>
            <w:hideMark/>
          </w:tcPr>
          <w:p w:rsidR="007F6DBF" w:rsidRPr="007F6DBF" w:rsidRDefault="007F6DBF" w:rsidP="007F6DBF">
            <w:pPr>
              <w:rPr>
                <w:color w:val="000000"/>
                <w:sz w:val="18"/>
                <w:szCs w:val="18"/>
              </w:rPr>
            </w:pPr>
          </w:p>
        </w:tc>
      </w:tr>
      <w:tr w:rsidR="007F6DBF" w:rsidRPr="007F6DBF" w:rsidTr="002F2EE5">
        <w:trPr>
          <w:trHeight w:val="315"/>
          <w:tblHeader/>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2=3+4</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4=5+8+9</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5</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7</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8</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9</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Промышленные</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72,9</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8,3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64,7</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2,3</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2,3</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60,3</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2,1</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Непромышленные</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21,5</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8,6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12,9</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0,1</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0,1</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12,9</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Энергосбытовые компании</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10,6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10,6</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10,6</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10,6</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Сельхоз.потребители</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19,4</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0,7</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18,7</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2,7</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2,7</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4,7</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11,3</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Население</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54,3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47,4</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6,9</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6,9</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6,9</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Федеральный бюджет</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15,3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6,3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9,1</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8,9</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8,9</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0,2</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lastRenderedPageBreak/>
              <w:t>Местный бюджет</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29,6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26,2</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3,4</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3,3</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3,3</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0,1</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Предприятия ЖКХ</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175,8</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31,9</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143,9</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41,2</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41,2</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101,9</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0,8</w:t>
            </w:r>
          </w:p>
        </w:tc>
      </w:tr>
      <w:tr w:rsidR="007F6DBF" w:rsidRPr="007F6DBF" w:rsidTr="002F2EE5">
        <w:trPr>
          <w:trHeight w:val="49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b/>
                <w:bCs/>
                <w:color w:val="000000"/>
                <w:sz w:val="18"/>
                <w:szCs w:val="18"/>
              </w:rPr>
            </w:pPr>
            <w:r w:rsidRPr="007F6DBF">
              <w:rPr>
                <w:b/>
                <w:bCs/>
                <w:color w:val="000000"/>
                <w:sz w:val="18"/>
                <w:szCs w:val="18"/>
              </w:rPr>
              <w:t>Итого по конечным потребителям:</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399,6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129,4</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270,2</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75,9</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73,2</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167,0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27,3</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b/>
                <w:bCs/>
                <w:color w:val="000000"/>
                <w:sz w:val="18"/>
                <w:szCs w:val="18"/>
              </w:rPr>
            </w:pPr>
            <w:r w:rsidRPr="007F6DBF">
              <w:rPr>
                <w:b/>
                <w:bCs/>
                <w:color w:val="000000"/>
                <w:sz w:val="18"/>
                <w:szCs w:val="18"/>
              </w:rPr>
              <w:t>Потери всего:</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30,6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30,6</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0,0</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Потери РСК</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27,7</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27,7</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color w:val="000000"/>
                <w:sz w:val="18"/>
                <w:szCs w:val="18"/>
              </w:rPr>
            </w:pPr>
            <w:r w:rsidRPr="007F6DBF">
              <w:rPr>
                <w:color w:val="000000"/>
                <w:sz w:val="18"/>
                <w:szCs w:val="18"/>
              </w:rPr>
              <w:t>Потери ТСО</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3,0</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3,0</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color w:val="000000"/>
                <w:sz w:val="18"/>
                <w:szCs w:val="18"/>
              </w:rPr>
            </w:pPr>
            <w:r w:rsidRPr="007F6DBF">
              <w:rPr>
                <w:color w:val="000000"/>
                <w:sz w:val="18"/>
                <w:szCs w:val="18"/>
              </w:rPr>
              <w:t>0,0</w:t>
            </w:r>
          </w:p>
        </w:tc>
      </w:tr>
      <w:tr w:rsidR="007F6DBF" w:rsidRPr="007F6DBF" w:rsidTr="002F2EE5">
        <w:trPr>
          <w:trHeight w:val="315"/>
        </w:trPr>
        <w:tc>
          <w:tcPr>
            <w:tcW w:w="1175" w:type="pct"/>
            <w:tcBorders>
              <w:top w:val="nil"/>
              <w:left w:val="single" w:sz="8" w:space="0" w:color="auto"/>
              <w:bottom w:val="single" w:sz="8" w:space="0" w:color="auto"/>
              <w:right w:val="single" w:sz="8" w:space="0" w:color="auto"/>
            </w:tcBorders>
            <w:shd w:val="clear" w:color="auto" w:fill="auto"/>
            <w:vAlign w:val="center"/>
            <w:hideMark/>
          </w:tcPr>
          <w:p w:rsidR="007F6DBF" w:rsidRPr="007F6DBF" w:rsidRDefault="007F6DBF" w:rsidP="007F6DBF">
            <w:pPr>
              <w:rPr>
                <w:b/>
                <w:bCs/>
                <w:color w:val="000000"/>
                <w:sz w:val="18"/>
                <w:szCs w:val="18"/>
              </w:rPr>
            </w:pPr>
            <w:r w:rsidRPr="007F6DBF">
              <w:rPr>
                <w:b/>
                <w:bCs/>
                <w:color w:val="000000"/>
                <w:sz w:val="18"/>
                <w:szCs w:val="18"/>
              </w:rPr>
              <w:t>Всего</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430,3</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160,1</w:t>
            </w:r>
          </w:p>
        </w:tc>
        <w:tc>
          <w:tcPr>
            <w:tcW w:w="458"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270,2</w:t>
            </w:r>
          </w:p>
        </w:tc>
        <w:tc>
          <w:tcPr>
            <w:tcW w:w="440"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75,9</w:t>
            </w:r>
          </w:p>
        </w:tc>
        <w:tc>
          <w:tcPr>
            <w:tcW w:w="57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w:t>
            </w:r>
          </w:p>
        </w:tc>
        <w:tc>
          <w:tcPr>
            <w:tcW w:w="454"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73,2</w:t>
            </w:r>
          </w:p>
        </w:tc>
        <w:tc>
          <w:tcPr>
            <w:tcW w:w="501"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167,0</w:t>
            </w:r>
          </w:p>
        </w:tc>
        <w:tc>
          <w:tcPr>
            <w:tcW w:w="485" w:type="pct"/>
            <w:tcBorders>
              <w:top w:val="nil"/>
              <w:left w:val="nil"/>
              <w:bottom w:val="single" w:sz="8" w:space="0" w:color="auto"/>
              <w:right w:val="single" w:sz="8" w:space="0" w:color="auto"/>
            </w:tcBorders>
            <w:shd w:val="clear" w:color="auto" w:fill="auto"/>
            <w:vAlign w:val="center"/>
            <w:hideMark/>
          </w:tcPr>
          <w:p w:rsidR="007F6DBF" w:rsidRPr="007F6DBF" w:rsidRDefault="007F6DBF" w:rsidP="007F6DBF">
            <w:pPr>
              <w:jc w:val="center"/>
              <w:rPr>
                <w:b/>
                <w:bCs/>
                <w:color w:val="000000"/>
                <w:sz w:val="18"/>
                <w:szCs w:val="18"/>
              </w:rPr>
            </w:pPr>
            <w:r w:rsidRPr="007F6DBF">
              <w:rPr>
                <w:b/>
                <w:bCs/>
                <w:color w:val="000000"/>
                <w:sz w:val="18"/>
                <w:szCs w:val="18"/>
              </w:rPr>
              <w:t>27,3</w:t>
            </w:r>
          </w:p>
        </w:tc>
      </w:tr>
    </w:tbl>
    <w:p w:rsidR="007F6DBF" w:rsidRPr="007F6DBF" w:rsidRDefault="007F6DBF" w:rsidP="007F6DBF">
      <w:pPr>
        <w:numPr>
          <w:ilvl w:val="1"/>
          <w:numId w:val="0"/>
        </w:numPr>
        <w:tabs>
          <w:tab w:val="num" w:pos="0"/>
        </w:tabs>
        <w:autoSpaceDE w:val="0"/>
        <w:autoSpaceDN w:val="0"/>
        <w:adjustRightInd w:val="0"/>
        <w:spacing w:before="100" w:beforeAutospacing="1" w:after="100" w:afterAutospacing="1"/>
        <w:ind w:firstLine="709"/>
        <w:jc w:val="both"/>
      </w:pPr>
      <w:r w:rsidRPr="007F6DBF">
        <w:t>Основная часть задолженности приходится на группы потребителей: «Промышленные потребители» и «Предприятия ЖКХ» и составляет 57,9% в общей величине задолженности, при этом большой объем указанной задолженности является мораторной.</w:t>
      </w:r>
    </w:p>
    <w:p w:rsidR="007F6DBF" w:rsidRPr="007F6DBF" w:rsidRDefault="007F6DBF" w:rsidP="007F6DBF">
      <w:pPr>
        <w:numPr>
          <w:ilvl w:val="1"/>
          <w:numId w:val="0"/>
        </w:numPr>
        <w:tabs>
          <w:tab w:val="num" w:pos="0"/>
        </w:tabs>
        <w:autoSpaceDE w:val="0"/>
        <w:autoSpaceDN w:val="0"/>
        <w:adjustRightInd w:val="0"/>
        <w:spacing w:before="100" w:beforeAutospacing="1"/>
        <w:ind w:firstLine="709"/>
        <w:jc w:val="both"/>
      </w:pPr>
      <w:r w:rsidRPr="007F6DBF">
        <w:t>Задолженность промышленных предприятий по состоянию на 31.12.2014 года составила 72,9 млн. руб. или 17,0 % в общей величине задолженности, в том числе:</w:t>
      </w:r>
    </w:p>
    <w:p w:rsidR="007F6DBF" w:rsidRPr="007F6DBF" w:rsidRDefault="007F6DBF" w:rsidP="007F6DBF">
      <w:pPr>
        <w:numPr>
          <w:ilvl w:val="1"/>
          <w:numId w:val="0"/>
        </w:numPr>
        <w:tabs>
          <w:tab w:val="num" w:pos="0"/>
        </w:tabs>
        <w:autoSpaceDE w:val="0"/>
        <w:autoSpaceDN w:val="0"/>
        <w:adjustRightInd w:val="0"/>
        <w:jc w:val="both"/>
      </w:pPr>
      <w:r w:rsidRPr="007F6DBF">
        <w:tab/>
        <w:t>- исковая задолженность – 2,3 млн. руб.;</w:t>
      </w:r>
    </w:p>
    <w:p w:rsidR="007F6DBF" w:rsidRPr="007F6DBF" w:rsidRDefault="007F6DBF" w:rsidP="007F6DBF">
      <w:pPr>
        <w:numPr>
          <w:ilvl w:val="1"/>
          <w:numId w:val="0"/>
        </w:numPr>
        <w:tabs>
          <w:tab w:val="num" w:pos="0"/>
        </w:tabs>
        <w:autoSpaceDE w:val="0"/>
        <w:autoSpaceDN w:val="0"/>
        <w:adjustRightInd w:val="0"/>
        <w:jc w:val="both"/>
      </w:pPr>
      <w:r w:rsidRPr="007F6DBF">
        <w:tab/>
        <w:t>- мораторная задолженность – 60,3 млн. руб.;</w:t>
      </w:r>
    </w:p>
    <w:p w:rsidR="007F6DBF" w:rsidRPr="007F6DBF" w:rsidRDefault="007F6DBF" w:rsidP="007F6DBF">
      <w:pPr>
        <w:numPr>
          <w:ilvl w:val="1"/>
          <w:numId w:val="0"/>
        </w:numPr>
        <w:tabs>
          <w:tab w:val="num" w:pos="0"/>
        </w:tabs>
        <w:autoSpaceDE w:val="0"/>
        <w:autoSpaceDN w:val="0"/>
        <w:adjustRightInd w:val="0"/>
        <w:spacing w:after="100" w:afterAutospacing="1"/>
        <w:jc w:val="both"/>
      </w:pPr>
      <w:r w:rsidRPr="007F6DBF">
        <w:tab/>
        <w:t>- нереальная к взысканию задолженность – 2,1 млн. руб.</w:t>
      </w:r>
    </w:p>
    <w:p w:rsidR="007F6DBF" w:rsidRPr="007F6DBF" w:rsidRDefault="007F6DBF" w:rsidP="007F6DBF">
      <w:pPr>
        <w:numPr>
          <w:ilvl w:val="1"/>
          <w:numId w:val="0"/>
        </w:numPr>
        <w:tabs>
          <w:tab w:val="num" w:pos="0"/>
        </w:tabs>
        <w:autoSpaceDE w:val="0"/>
        <w:autoSpaceDN w:val="0"/>
        <w:adjustRightInd w:val="0"/>
        <w:spacing w:before="100" w:beforeAutospacing="1"/>
        <w:jc w:val="both"/>
      </w:pPr>
      <w:r w:rsidRPr="007F6DBF">
        <w:tab/>
        <w:t>Задолженность предприятий жилищно-коммунального хозяйства по состоянию на 31.12.2014 года составила 175,8 млн. руб. или 40,9 % в общей величине задолженности, в том числе:</w:t>
      </w:r>
    </w:p>
    <w:p w:rsidR="007F6DBF" w:rsidRPr="007F6DBF" w:rsidRDefault="007F6DBF" w:rsidP="007F6DBF">
      <w:pPr>
        <w:numPr>
          <w:ilvl w:val="1"/>
          <w:numId w:val="0"/>
        </w:numPr>
        <w:tabs>
          <w:tab w:val="num" w:pos="0"/>
        </w:tabs>
        <w:autoSpaceDE w:val="0"/>
        <w:autoSpaceDN w:val="0"/>
        <w:adjustRightInd w:val="0"/>
        <w:jc w:val="both"/>
      </w:pPr>
      <w:r w:rsidRPr="007F6DBF">
        <w:tab/>
        <w:t>- исковая задолженность – 41,2 млн. руб.;</w:t>
      </w:r>
    </w:p>
    <w:p w:rsidR="007F6DBF" w:rsidRPr="007F6DBF" w:rsidRDefault="007F6DBF" w:rsidP="007F6DBF">
      <w:pPr>
        <w:numPr>
          <w:ilvl w:val="1"/>
          <w:numId w:val="0"/>
        </w:numPr>
        <w:tabs>
          <w:tab w:val="num" w:pos="0"/>
        </w:tabs>
        <w:autoSpaceDE w:val="0"/>
        <w:autoSpaceDN w:val="0"/>
        <w:adjustRightInd w:val="0"/>
        <w:jc w:val="both"/>
      </w:pPr>
      <w:r w:rsidRPr="007F6DBF">
        <w:tab/>
        <w:t xml:space="preserve">- мораторная задолженность – 101,9 млн. руб. </w:t>
      </w:r>
    </w:p>
    <w:p w:rsidR="007F6DBF" w:rsidRPr="007F6DBF" w:rsidRDefault="007F6DBF" w:rsidP="007F6DBF">
      <w:pPr>
        <w:tabs>
          <w:tab w:val="num" w:pos="0"/>
        </w:tabs>
        <w:autoSpaceDE w:val="0"/>
        <w:autoSpaceDN w:val="0"/>
        <w:adjustRightInd w:val="0"/>
        <w:ind w:left="720"/>
        <w:contextualSpacing/>
        <w:jc w:val="both"/>
      </w:pPr>
      <w:r w:rsidRPr="007F6DBF">
        <w:t>- нереальная к взысканию задолженность – 0,8 млн. руб.</w:t>
      </w:r>
    </w:p>
    <w:p w:rsidR="007F6DBF" w:rsidRPr="007F6DBF" w:rsidRDefault="007F6DBF" w:rsidP="007F6DBF">
      <w:pPr>
        <w:numPr>
          <w:ilvl w:val="1"/>
          <w:numId w:val="0"/>
        </w:numPr>
        <w:tabs>
          <w:tab w:val="num" w:pos="0"/>
        </w:tabs>
        <w:spacing w:before="100" w:beforeAutospacing="1"/>
        <w:ind w:firstLine="709"/>
        <w:jc w:val="both"/>
      </w:pPr>
      <w:r w:rsidRPr="007F6DBF">
        <w:t>Для погашения дебиторской задолженности Обществом принимаются следующие меры:</w:t>
      </w:r>
    </w:p>
    <w:p w:rsidR="007F6DBF" w:rsidRPr="007F6DBF" w:rsidRDefault="007F6DBF" w:rsidP="007F6DBF">
      <w:pPr>
        <w:numPr>
          <w:ilvl w:val="1"/>
          <w:numId w:val="0"/>
        </w:numPr>
        <w:tabs>
          <w:tab w:val="num" w:pos="0"/>
        </w:tabs>
        <w:jc w:val="both"/>
      </w:pPr>
      <w:r w:rsidRPr="007F6DBF">
        <w:tab/>
        <w:t>- контроль за текущей платежной дисциплиной потребителей;</w:t>
      </w:r>
    </w:p>
    <w:p w:rsidR="007F6DBF" w:rsidRPr="007F6DBF" w:rsidRDefault="007F6DBF" w:rsidP="007F6DBF">
      <w:pPr>
        <w:suppressAutoHyphens/>
        <w:ind w:firstLine="708"/>
        <w:jc w:val="both"/>
      </w:pPr>
      <w:r w:rsidRPr="007F6DBF">
        <w:t>- подписание соглашений о реструктуризации задолженности за потребленную электроэнергию. По состоянию на 31.12.2014 года подписаны соглашения о реструктуризации задолженности за потребленную электроэнергию в сумме 2,7 млн. руб.;</w:t>
      </w:r>
    </w:p>
    <w:p w:rsidR="007F6DBF" w:rsidRPr="007F6DBF" w:rsidRDefault="007F6DBF" w:rsidP="007F6DBF">
      <w:pPr>
        <w:numPr>
          <w:ilvl w:val="1"/>
          <w:numId w:val="0"/>
        </w:numPr>
        <w:tabs>
          <w:tab w:val="num" w:pos="0"/>
        </w:tabs>
        <w:jc w:val="both"/>
      </w:pPr>
      <w:r w:rsidRPr="007F6DBF">
        <w:tab/>
        <w:t>- ежеквартальное подписание актов сверок задолженности с потребителями;</w:t>
      </w:r>
    </w:p>
    <w:p w:rsidR="007F6DBF" w:rsidRPr="007F6DBF" w:rsidRDefault="007F6DBF" w:rsidP="007F6DBF">
      <w:pPr>
        <w:suppressAutoHyphens/>
        <w:ind w:firstLine="708"/>
        <w:jc w:val="both"/>
      </w:pPr>
      <w:r w:rsidRPr="007F6DBF">
        <w:t>- претензионно-исковая работа по взысканию дебиторской задолженности в судебном порядке. В отчетном году в ходе претензионно-исковой работы было подано 5 660 иска на сумму 347,0 млн. руб., принято 4 808 судебных акта о взыскании задолженности в отношении потребителей-неплательщиков на сумму 223,4 млн. руб. Заключены 3 соглашения о реструктуризации дебиторской задолженности на общую сумму 2,7 млн. руб.;</w:t>
      </w:r>
    </w:p>
    <w:p w:rsidR="007F6DBF" w:rsidRPr="007F6DBF" w:rsidRDefault="007F6DBF" w:rsidP="007F6DBF">
      <w:pPr>
        <w:suppressAutoHyphens/>
        <w:spacing w:after="100" w:afterAutospacing="1"/>
        <w:ind w:firstLine="708"/>
        <w:jc w:val="both"/>
      </w:pPr>
      <w:r w:rsidRPr="007F6DBF">
        <w:t xml:space="preserve">- частичное или полное ограничение режима потребления электроэнергии при неоплате в порядке, предусмотренном законодательством. В целях прекращения </w:t>
      </w:r>
      <w:r w:rsidRPr="007F6DBF">
        <w:lastRenderedPageBreak/>
        <w:t>неоплачиваемого отпуска электроэнергии за отчетный период напра</w:t>
      </w:r>
      <w:r w:rsidR="00DC55B4">
        <w:t>влено в сетевые организации  22</w:t>
      </w:r>
      <w:r w:rsidRPr="007F6DBF">
        <w:t>942 заявки на отключение потребителей, не исполняющих свои договорные обязательства по оплате на сумму 413,6</w:t>
      </w:r>
      <w:r w:rsidRPr="007F6DBF">
        <w:rPr>
          <w:color w:val="FF0000"/>
        </w:rPr>
        <w:t xml:space="preserve"> </w:t>
      </w:r>
      <w:r w:rsidRPr="007F6DBF">
        <w:t>млн. руб. Выполнено 3 629 заявок на сумму 49,4 млн.руб.  Не выполнено сетевой компанией  в связи с оплатой  19 184 заявки.</w:t>
      </w:r>
    </w:p>
    <w:p w:rsidR="007F6DBF" w:rsidRPr="007F6DBF" w:rsidRDefault="007F6DBF" w:rsidP="00C43539">
      <w:pPr>
        <w:ind w:firstLine="708"/>
        <w:jc w:val="both"/>
      </w:pPr>
      <w:r w:rsidRPr="007F6DBF">
        <w:t>Обществом ведется ежемесячный анализ по выявлению проблемных потребителей, причин роста дебиторской задолженности как в целом по Обществу, так и по группам потребителей.  В целом меры, с помощью которых  ОАО «Каббалкэнерго» осуществляет контроль над ростом дебиторской задолженности, можно представить в следующем виде:</w:t>
      </w:r>
    </w:p>
    <w:p w:rsidR="007F6DBF" w:rsidRPr="007F6DBF" w:rsidRDefault="007F6DBF" w:rsidP="00AE0E97">
      <w:pPr>
        <w:numPr>
          <w:ilvl w:val="0"/>
          <w:numId w:val="20"/>
        </w:numPr>
      </w:pPr>
      <w:r w:rsidRPr="007F6DBF">
        <w:t>мониторинг роста дебиторской задолженности;</w:t>
      </w:r>
    </w:p>
    <w:p w:rsidR="007F6DBF" w:rsidRPr="007F6DBF" w:rsidRDefault="007F6DBF" w:rsidP="00AE0E97">
      <w:pPr>
        <w:numPr>
          <w:ilvl w:val="0"/>
          <w:numId w:val="20"/>
        </w:numPr>
      </w:pPr>
      <w:r w:rsidRPr="007F6DBF">
        <w:t>выявление нарушений платежной дисциплины;</w:t>
      </w:r>
    </w:p>
    <w:p w:rsidR="007F6DBF" w:rsidRPr="007F6DBF" w:rsidRDefault="007F6DBF" w:rsidP="00AE0E97">
      <w:pPr>
        <w:numPr>
          <w:ilvl w:val="0"/>
          <w:numId w:val="20"/>
        </w:numPr>
      </w:pPr>
      <w:r w:rsidRPr="007F6DBF">
        <w:t>направление претензий потребителям;</w:t>
      </w:r>
    </w:p>
    <w:p w:rsidR="007F6DBF" w:rsidRPr="007F6DBF" w:rsidRDefault="007F6DBF" w:rsidP="00AE0E97">
      <w:pPr>
        <w:numPr>
          <w:ilvl w:val="0"/>
          <w:numId w:val="20"/>
        </w:numPr>
      </w:pPr>
      <w:r w:rsidRPr="007F6DBF">
        <w:t>ограничение энергоснабжения;</w:t>
      </w:r>
    </w:p>
    <w:p w:rsidR="007F6DBF" w:rsidRPr="007F6DBF" w:rsidRDefault="007F6DBF" w:rsidP="00AE0E97">
      <w:pPr>
        <w:numPr>
          <w:ilvl w:val="0"/>
          <w:numId w:val="20"/>
        </w:numPr>
      </w:pPr>
      <w:r w:rsidRPr="007F6DBF">
        <w:t>прекращение энергоснабжения;</w:t>
      </w:r>
    </w:p>
    <w:p w:rsidR="007F6DBF" w:rsidRPr="007F6DBF" w:rsidRDefault="007F6DBF" w:rsidP="00AE0E97">
      <w:pPr>
        <w:numPr>
          <w:ilvl w:val="0"/>
          <w:numId w:val="20"/>
        </w:numPr>
      </w:pPr>
      <w:r w:rsidRPr="007F6DBF">
        <w:t>взыскание задолженности в судебном порядке.</w:t>
      </w:r>
    </w:p>
    <w:p w:rsidR="007F6DBF" w:rsidRPr="007F6DBF" w:rsidRDefault="007F6DBF" w:rsidP="007F6DBF">
      <w:pPr>
        <w:ind w:firstLine="708"/>
        <w:jc w:val="both"/>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ind w:firstLine="708"/>
        <w:jc w:val="center"/>
        <w:rPr>
          <w:b/>
        </w:rPr>
      </w:pPr>
    </w:p>
    <w:p w:rsidR="007F6DBF" w:rsidRPr="007F6DBF" w:rsidRDefault="007F6DBF" w:rsidP="007F6DBF">
      <w:pPr>
        <w:rPr>
          <w:b/>
        </w:rPr>
      </w:pPr>
    </w:p>
    <w:p w:rsidR="007F6DBF" w:rsidRPr="007F6DBF" w:rsidRDefault="007F6DBF" w:rsidP="007F6DBF">
      <w:pPr>
        <w:ind w:firstLine="708"/>
        <w:jc w:val="center"/>
        <w:rPr>
          <w:b/>
        </w:rPr>
        <w:sectPr w:rsidR="007F6DBF" w:rsidRPr="007F6DBF" w:rsidSect="002F2EE5">
          <w:pgSz w:w="11906" w:h="16838"/>
          <w:pgMar w:top="1134" w:right="748" w:bottom="1134" w:left="1701" w:header="709" w:footer="709" w:gutter="0"/>
          <w:cols w:space="708"/>
          <w:docGrid w:linePitch="360"/>
        </w:sectPr>
      </w:pPr>
    </w:p>
    <w:p w:rsidR="007F6DBF" w:rsidRPr="007F6DBF" w:rsidRDefault="007F6DBF" w:rsidP="007F6DBF">
      <w:pPr>
        <w:spacing w:before="100" w:beforeAutospacing="1" w:after="100" w:afterAutospacing="1"/>
        <w:jc w:val="center"/>
        <w:rPr>
          <w:b/>
        </w:rPr>
      </w:pPr>
      <w:r w:rsidRPr="007F6DBF">
        <w:rPr>
          <w:b/>
        </w:rPr>
        <w:lastRenderedPageBreak/>
        <w:t>Информация по введению частичного и полного ограничения потребления электрической энергии потребителям-неплательщикам по заявкам энергосбытовых компаний за 2014 год, шт.</w:t>
      </w:r>
    </w:p>
    <w:p w:rsidR="007F6DBF" w:rsidRPr="007F6DBF" w:rsidRDefault="007F6DBF" w:rsidP="007F6DBF">
      <w:pPr>
        <w:ind w:firstLine="708"/>
        <w:jc w:val="center"/>
        <w:rPr>
          <w:b/>
        </w:rPr>
      </w:pPr>
    </w:p>
    <w:tbl>
      <w:tblPr>
        <w:tblW w:w="15945" w:type="dxa"/>
        <w:jc w:val="center"/>
        <w:tblInd w:w="-176" w:type="dxa"/>
        <w:tblLayout w:type="fixed"/>
        <w:tblLook w:val="04A0" w:firstRow="1" w:lastRow="0" w:firstColumn="1" w:lastColumn="0" w:noHBand="0" w:noVBand="1"/>
      </w:tblPr>
      <w:tblGrid>
        <w:gridCol w:w="377"/>
        <w:gridCol w:w="1369"/>
        <w:gridCol w:w="537"/>
        <w:gridCol w:w="787"/>
        <w:gridCol w:w="617"/>
        <w:gridCol w:w="786"/>
        <w:gridCol w:w="456"/>
        <w:gridCol w:w="786"/>
        <w:gridCol w:w="651"/>
        <w:gridCol w:w="536"/>
        <w:gridCol w:w="786"/>
        <w:gridCol w:w="693"/>
        <w:gridCol w:w="536"/>
        <w:gridCol w:w="786"/>
        <w:gridCol w:w="590"/>
        <w:gridCol w:w="616"/>
        <w:gridCol w:w="786"/>
        <w:gridCol w:w="536"/>
        <w:gridCol w:w="450"/>
        <w:gridCol w:w="786"/>
        <w:gridCol w:w="616"/>
        <w:gridCol w:w="456"/>
        <w:gridCol w:w="786"/>
        <w:gridCol w:w="620"/>
      </w:tblGrid>
      <w:tr w:rsidR="006543FC" w:rsidRPr="006543FC" w:rsidTr="006543FC">
        <w:trPr>
          <w:trHeight w:val="255"/>
          <w:jc w:val="center"/>
        </w:trPr>
        <w:tc>
          <w:tcPr>
            <w:tcW w:w="376" w:type="dxa"/>
            <w:vMerge w:val="restart"/>
            <w:tcBorders>
              <w:top w:val="single" w:sz="4" w:space="0" w:color="auto"/>
              <w:left w:val="single" w:sz="4" w:space="0" w:color="auto"/>
              <w:bottom w:val="single" w:sz="4" w:space="0" w:color="000000"/>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 xml:space="preserve">№ </w:t>
            </w:r>
          </w:p>
        </w:tc>
        <w:tc>
          <w:tcPr>
            <w:tcW w:w="1367" w:type="dxa"/>
            <w:vMerge w:val="restart"/>
            <w:tcBorders>
              <w:top w:val="single" w:sz="4" w:space="0" w:color="auto"/>
              <w:left w:val="single" w:sz="4" w:space="0" w:color="auto"/>
              <w:bottom w:val="single" w:sz="4" w:space="0" w:color="000000"/>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Докладчик</w:t>
            </w:r>
          </w:p>
        </w:tc>
        <w:tc>
          <w:tcPr>
            <w:tcW w:w="14196" w:type="dxa"/>
            <w:gridSpan w:val="22"/>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Заявки на отключение, шт.</w:t>
            </w:r>
          </w:p>
        </w:tc>
      </w:tr>
      <w:tr w:rsidR="006543FC" w:rsidRPr="006543FC" w:rsidTr="006543FC">
        <w:trPr>
          <w:trHeight w:val="255"/>
          <w:jc w:val="center"/>
        </w:trPr>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2724" w:type="dxa"/>
            <w:gridSpan w:val="4"/>
            <w:tcBorders>
              <w:top w:val="single" w:sz="4" w:space="0" w:color="auto"/>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Подано заявок</w:t>
            </w:r>
          </w:p>
        </w:tc>
        <w:tc>
          <w:tcPr>
            <w:tcW w:w="3908" w:type="dxa"/>
            <w:gridSpan w:val="6"/>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Отключено согласно заявок</w:t>
            </w:r>
          </w:p>
        </w:tc>
        <w:tc>
          <w:tcPr>
            <w:tcW w:w="3850" w:type="dxa"/>
            <w:gridSpan w:val="6"/>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Отозвано заявок</w:t>
            </w:r>
          </w:p>
        </w:tc>
        <w:tc>
          <w:tcPr>
            <w:tcW w:w="3714" w:type="dxa"/>
            <w:gridSpan w:val="6"/>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Не выполнено заявок</w:t>
            </w:r>
          </w:p>
        </w:tc>
      </w:tr>
      <w:tr w:rsidR="006543FC" w:rsidRPr="006543FC" w:rsidTr="006543FC">
        <w:trPr>
          <w:trHeight w:val="472"/>
          <w:jc w:val="center"/>
        </w:trPr>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1322" w:type="dxa"/>
            <w:gridSpan w:val="2"/>
            <w:tcBorders>
              <w:top w:val="single" w:sz="4" w:space="0" w:color="auto"/>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юридические лица</w:t>
            </w:r>
          </w:p>
        </w:tc>
        <w:tc>
          <w:tcPr>
            <w:tcW w:w="1402" w:type="dxa"/>
            <w:gridSpan w:val="2"/>
            <w:tcBorders>
              <w:top w:val="single" w:sz="4" w:space="0" w:color="auto"/>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физические лица</w:t>
            </w:r>
          </w:p>
        </w:tc>
        <w:tc>
          <w:tcPr>
            <w:tcW w:w="1893"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юридические лица</w:t>
            </w:r>
          </w:p>
        </w:tc>
        <w:tc>
          <w:tcPr>
            <w:tcW w:w="2015"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физические лица</w:t>
            </w:r>
          </w:p>
        </w:tc>
        <w:tc>
          <w:tcPr>
            <w:tcW w:w="1912"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юридические лица</w:t>
            </w:r>
          </w:p>
        </w:tc>
        <w:tc>
          <w:tcPr>
            <w:tcW w:w="1938"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физические лица</w:t>
            </w:r>
          </w:p>
        </w:tc>
        <w:tc>
          <w:tcPr>
            <w:tcW w:w="1852"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юридические лица</w:t>
            </w:r>
          </w:p>
        </w:tc>
        <w:tc>
          <w:tcPr>
            <w:tcW w:w="1862" w:type="dxa"/>
            <w:gridSpan w:val="3"/>
            <w:tcBorders>
              <w:top w:val="single" w:sz="4" w:space="0" w:color="auto"/>
              <w:left w:val="nil"/>
              <w:bottom w:val="single" w:sz="4" w:space="0" w:color="auto"/>
              <w:right w:val="single" w:sz="4" w:space="0" w:color="000000"/>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физические лица</w:t>
            </w:r>
          </w:p>
        </w:tc>
      </w:tr>
      <w:tr w:rsidR="006543FC" w:rsidRPr="006543FC" w:rsidTr="006543FC">
        <w:trPr>
          <w:trHeight w:val="255"/>
          <w:jc w:val="center"/>
        </w:trPr>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300" w:type="dxa"/>
            <w:vMerge/>
            <w:tcBorders>
              <w:top w:val="single" w:sz="4" w:space="0" w:color="auto"/>
              <w:left w:val="single" w:sz="4" w:space="0" w:color="auto"/>
              <w:bottom w:val="single" w:sz="4" w:space="0" w:color="000000"/>
              <w:right w:val="single" w:sz="4" w:space="0" w:color="auto"/>
            </w:tcBorders>
            <w:vAlign w:val="center"/>
            <w:hideMark/>
          </w:tcPr>
          <w:p w:rsidR="006543FC" w:rsidRPr="006543FC" w:rsidRDefault="006543FC" w:rsidP="006543FC">
            <w:pPr>
              <w:rPr>
                <w:color w:val="000000"/>
                <w:sz w:val="16"/>
                <w:szCs w:val="16"/>
                <w:lang w:eastAsia="en-US"/>
              </w:rPr>
            </w:pP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61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45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651"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разницы направленных  и отозванных заявок ГП</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693"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разницы направленных  и отозванных заявок ГП</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590"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направленных заявок</w:t>
            </w:r>
          </w:p>
        </w:tc>
        <w:tc>
          <w:tcPr>
            <w:tcW w:w="61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направленных заявок</w:t>
            </w:r>
          </w:p>
        </w:tc>
        <w:tc>
          <w:tcPr>
            <w:tcW w:w="450"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61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разницы направленных  и отозванных заявок ГП</w:t>
            </w:r>
          </w:p>
        </w:tc>
        <w:tc>
          <w:tcPr>
            <w:tcW w:w="45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шт.</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тыс.руб.</w:t>
            </w:r>
          </w:p>
        </w:tc>
        <w:tc>
          <w:tcPr>
            <w:tcW w:w="620"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color w:val="000000"/>
                <w:sz w:val="16"/>
                <w:szCs w:val="16"/>
                <w:lang w:eastAsia="en-US"/>
              </w:rPr>
            </w:pPr>
            <w:r w:rsidRPr="006543FC">
              <w:rPr>
                <w:bCs/>
                <w:color w:val="000000"/>
                <w:sz w:val="16"/>
                <w:szCs w:val="16"/>
                <w:lang w:eastAsia="en-US"/>
              </w:rPr>
              <w:t>% от разницы направленных  и отозванных заявок ГП</w:t>
            </w:r>
          </w:p>
        </w:tc>
      </w:tr>
      <w:tr w:rsidR="006543FC" w:rsidRPr="006543FC" w:rsidTr="006543FC">
        <w:trPr>
          <w:trHeight w:val="440"/>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Центральное отделение</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291</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165454</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1654</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282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163800</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r>
      <w:tr w:rsidR="006543FC" w:rsidRPr="006543FC" w:rsidTr="006543FC">
        <w:trPr>
          <w:trHeight w:val="348"/>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Прохладненское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3238</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1277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2790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178</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22%</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247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723</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94%</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2221</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51%</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1014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2033</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79%</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839</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78%</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16</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34</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6%</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ЭО города Баксан</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338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2508</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2424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5320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905</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84%</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312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939</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91%</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294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1564</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87%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2083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4307</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86%</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39</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16%</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74</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Баксанское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172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24367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2255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4720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5371</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97%</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1011</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2345</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96%</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139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18959</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81%</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1205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2292</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53%</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37</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3%</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83</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4%</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Зольское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169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23333</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4639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7852</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4537</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240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624</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139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18796</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82%</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4399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7228</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95%</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Лескенское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26</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4805</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1544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2105</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4691</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26</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53</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63%</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114</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15%</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1503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1991</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97%</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61</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37%</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Майское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606</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17696</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673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1312</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442</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156</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382</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587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17254</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517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930</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77%</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Терское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284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32747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234</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234</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284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32747</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Урванское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532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47848</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1735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5274</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4030</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747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2944</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98%</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512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43818</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96%</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973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2257</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56%</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73</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2%</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10</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г. Чегем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11</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Чегемское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199</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27464</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2787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7079</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7406</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98%</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751</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98%</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148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20018</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74%</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2585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6309</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93%</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2%</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2%</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12</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Черекское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947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7920</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1070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1977</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32</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3557</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7</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35</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915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4363</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97%</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1063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1942</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99%</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13</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Эльбрусское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195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15491</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621</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2066</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55</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6406</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288</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1243</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100%</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140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9085</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72%</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333</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823</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54%</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0%</w:t>
            </w:r>
          </w:p>
        </w:tc>
      </w:tr>
      <w:tr w:rsidR="006543FC" w:rsidRPr="006543FC" w:rsidTr="006543FC">
        <w:trPr>
          <w:trHeight w:val="256"/>
          <w:jc w:val="center"/>
        </w:trPr>
        <w:tc>
          <w:tcPr>
            <w:tcW w:w="376" w:type="dxa"/>
            <w:tcBorders>
              <w:top w:val="nil"/>
              <w:left w:val="single" w:sz="4" w:space="0" w:color="auto"/>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14</w:t>
            </w:r>
          </w:p>
        </w:tc>
        <w:tc>
          <w:tcPr>
            <w:tcW w:w="1367"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rPr>
                <w:color w:val="000000"/>
                <w:sz w:val="16"/>
                <w:szCs w:val="16"/>
                <w:lang w:eastAsia="en-US"/>
              </w:rPr>
            </w:pPr>
            <w:r w:rsidRPr="006543FC">
              <w:rPr>
                <w:color w:val="000000"/>
                <w:sz w:val="16"/>
                <w:szCs w:val="16"/>
                <w:lang w:eastAsia="en-US"/>
              </w:rPr>
              <w:t>Нальчикское ЭО</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53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61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0"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c>
          <w:tcPr>
            <w:tcW w:w="45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786" w:type="dxa"/>
            <w:tcBorders>
              <w:top w:val="nil"/>
              <w:left w:val="nil"/>
              <w:bottom w:val="single" w:sz="4" w:space="0" w:color="auto"/>
              <w:right w:val="single" w:sz="4" w:space="0" w:color="auto"/>
            </w:tcBorders>
            <w:vAlign w:val="center"/>
            <w:hideMark/>
          </w:tcPr>
          <w:p w:rsidR="006543FC" w:rsidRPr="006543FC" w:rsidRDefault="006543FC" w:rsidP="006543FC">
            <w:pPr>
              <w:spacing w:line="276" w:lineRule="auto"/>
              <w:jc w:val="center"/>
              <w:rPr>
                <w:color w:val="000000"/>
                <w:sz w:val="16"/>
                <w:szCs w:val="16"/>
                <w:lang w:eastAsia="en-US"/>
              </w:rPr>
            </w:pPr>
            <w:r w:rsidRPr="006543FC">
              <w:rPr>
                <w:color w:val="000000"/>
                <w:sz w:val="16"/>
                <w:szCs w:val="16"/>
                <w:lang w:eastAsia="en-US"/>
              </w:rPr>
              <w:t>0</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sz w:val="16"/>
                <w:szCs w:val="16"/>
                <w:lang w:eastAsia="en-US"/>
              </w:rPr>
            </w:pPr>
            <w:r w:rsidRPr="006543FC">
              <w:rPr>
                <w:sz w:val="16"/>
                <w:szCs w:val="16"/>
                <w:lang w:eastAsia="en-US"/>
              </w:rPr>
              <w:t>-</w:t>
            </w:r>
          </w:p>
        </w:tc>
      </w:tr>
      <w:tr w:rsidR="006543FC" w:rsidRPr="006543FC" w:rsidTr="006543FC">
        <w:trPr>
          <w:trHeight w:val="255"/>
          <w:jc w:val="center"/>
        </w:trPr>
        <w:tc>
          <w:tcPr>
            <w:tcW w:w="376" w:type="dxa"/>
            <w:tcBorders>
              <w:top w:val="nil"/>
              <w:left w:val="single" w:sz="4" w:space="0" w:color="auto"/>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 </w:t>
            </w:r>
          </w:p>
        </w:tc>
        <w:tc>
          <w:tcPr>
            <w:tcW w:w="1367"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Всего</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3834</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372871</w:t>
            </w:r>
          </w:p>
        </w:tc>
        <w:tc>
          <w:tcPr>
            <w:tcW w:w="61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19108</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40729</w:t>
            </w:r>
          </w:p>
        </w:tc>
        <w:tc>
          <w:tcPr>
            <w:tcW w:w="45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314</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39177</w:t>
            </w:r>
          </w:p>
        </w:tc>
        <w:tc>
          <w:tcPr>
            <w:tcW w:w="651"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89%</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3315</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10273</w:t>
            </w:r>
          </w:p>
        </w:tc>
        <w:tc>
          <w:tcPr>
            <w:tcW w:w="693"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97%</w:t>
            </w:r>
          </w:p>
        </w:tc>
        <w:tc>
          <w:tcPr>
            <w:tcW w:w="53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3482</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332739</w:t>
            </w:r>
          </w:p>
        </w:tc>
        <w:tc>
          <w:tcPr>
            <w:tcW w:w="59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91%</w:t>
            </w:r>
          </w:p>
        </w:tc>
        <w:tc>
          <w:tcPr>
            <w:tcW w:w="61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15675</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30112</w:t>
            </w:r>
          </w:p>
        </w:tc>
        <w:tc>
          <w:tcPr>
            <w:tcW w:w="53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82%</w:t>
            </w:r>
          </w:p>
        </w:tc>
        <w:tc>
          <w:tcPr>
            <w:tcW w:w="450"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38</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955</w:t>
            </w:r>
          </w:p>
        </w:tc>
        <w:tc>
          <w:tcPr>
            <w:tcW w:w="616"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11%</w:t>
            </w:r>
          </w:p>
        </w:tc>
        <w:tc>
          <w:tcPr>
            <w:tcW w:w="45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118</w:t>
            </w:r>
          </w:p>
        </w:tc>
        <w:tc>
          <w:tcPr>
            <w:tcW w:w="786" w:type="dxa"/>
            <w:tcBorders>
              <w:top w:val="nil"/>
              <w:left w:val="nil"/>
              <w:bottom w:val="single" w:sz="4" w:space="0" w:color="auto"/>
              <w:right w:val="single" w:sz="4" w:space="0" w:color="auto"/>
            </w:tcBorders>
            <w:shd w:val="clear" w:color="auto" w:fill="FFFFFF"/>
            <w:vAlign w:val="center"/>
            <w:hideMark/>
          </w:tcPr>
          <w:p w:rsidR="006543FC" w:rsidRPr="006543FC" w:rsidRDefault="006543FC" w:rsidP="006543FC">
            <w:pPr>
              <w:spacing w:line="276" w:lineRule="auto"/>
              <w:jc w:val="center"/>
              <w:rPr>
                <w:b/>
                <w:bCs/>
                <w:color w:val="000000"/>
                <w:sz w:val="16"/>
                <w:szCs w:val="16"/>
                <w:lang w:eastAsia="en-US"/>
              </w:rPr>
            </w:pPr>
            <w:r w:rsidRPr="006543FC">
              <w:rPr>
                <w:b/>
                <w:bCs/>
                <w:color w:val="000000"/>
                <w:sz w:val="16"/>
                <w:szCs w:val="16"/>
                <w:lang w:eastAsia="en-US"/>
              </w:rPr>
              <w:t>344</w:t>
            </w:r>
          </w:p>
        </w:tc>
        <w:tc>
          <w:tcPr>
            <w:tcW w:w="620" w:type="dxa"/>
            <w:tcBorders>
              <w:top w:val="nil"/>
              <w:left w:val="nil"/>
              <w:bottom w:val="single" w:sz="4" w:space="0" w:color="auto"/>
              <w:right w:val="single" w:sz="4" w:space="0" w:color="auto"/>
            </w:tcBorders>
            <w:shd w:val="clear" w:color="auto" w:fill="FFFFFF"/>
            <w:noWrap/>
            <w:vAlign w:val="center"/>
            <w:hideMark/>
          </w:tcPr>
          <w:p w:rsidR="006543FC" w:rsidRPr="006543FC" w:rsidRDefault="006543FC" w:rsidP="006543FC">
            <w:pPr>
              <w:spacing w:line="276" w:lineRule="auto"/>
              <w:jc w:val="center"/>
              <w:rPr>
                <w:b/>
                <w:bCs/>
                <w:sz w:val="16"/>
                <w:szCs w:val="16"/>
                <w:lang w:eastAsia="en-US"/>
              </w:rPr>
            </w:pPr>
            <w:r w:rsidRPr="006543FC">
              <w:rPr>
                <w:b/>
                <w:bCs/>
                <w:sz w:val="16"/>
                <w:szCs w:val="16"/>
                <w:lang w:eastAsia="en-US"/>
              </w:rPr>
              <w:t>3%</w:t>
            </w:r>
          </w:p>
        </w:tc>
      </w:tr>
    </w:tbl>
    <w:p w:rsidR="007F6DBF" w:rsidRDefault="007F6DBF" w:rsidP="00082D6C">
      <w:pPr>
        <w:pStyle w:val="a9"/>
        <w:spacing w:after="200" w:line="276" w:lineRule="auto"/>
        <w:ind w:left="0"/>
        <w:rPr>
          <w:rFonts w:eastAsiaTheme="minorHAnsi"/>
          <w:b/>
          <w:lang w:eastAsia="en-US"/>
        </w:rPr>
        <w:sectPr w:rsidR="007F6DBF" w:rsidSect="006543FC">
          <w:pgSz w:w="16838" w:h="11906" w:orient="landscape"/>
          <w:pgMar w:top="1135" w:right="1134" w:bottom="851" w:left="1134" w:header="709" w:footer="709" w:gutter="0"/>
          <w:cols w:space="708"/>
          <w:docGrid w:linePitch="360"/>
        </w:sectPr>
      </w:pPr>
    </w:p>
    <w:p w:rsidR="00154FAB" w:rsidRPr="004A1E12" w:rsidRDefault="00154FAB" w:rsidP="00154FAB">
      <w:pPr>
        <w:jc w:val="center"/>
        <w:rPr>
          <w:b/>
          <w:sz w:val="28"/>
        </w:rPr>
      </w:pPr>
      <w:r w:rsidRPr="004A1E12">
        <w:rPr>
          <w:b/>
          <w:sz w:val="28"/>
        </w:rPr>
        <w:lastRenderedPageBreak/>
        <w:t>4.3.  Повышение качества обслуживания потребителей электрической энергии</w:t>
      </w:r>
    </w:p>
    <w:p w:rsidR="00154FAB" w:rsidRPr="00154FAB" w:rsidRDefault="00154FAB" w:rsidP="00154FAB">
      <w:pPr>
        <w:ind w:firstLine="708"/>
        <w:jc w:val="both"/>
      </w:pPr>
    </w:p>
    <w:p w:rsidR="00154FAB" w:rsidRPr="00154FAB" w:rsidRDefault="00154FAB" w:rsidP="00154FAB">
      <w:pPr>
        <w:ind w:firstLine="709"/>
        <w:jc w:val="both"/>
      </w:pPr>
      <w:r w:rsidRPr="00154FAB">
        <w:t>Главным документом, регулирующим деятельность Общества в области взаимодействия с потребителями услуг Общества является Стандарт качества обслуживания потребителей (покупателей) электрической энергии</w:t>
      </w:r>
      <w:r w:rsidRPr="00154FAB">
        <w:rPr>
          <w:rFonts w:asciiTheme="minorHAnsi" w:eastAsiaTheme="minorHAnsi" w:hAnsiTheme="minorHAnsi" w:cstheme="minorBidi"/>
          <w:sz w:val="22"/>
          <w:szCs w:val="22"/>
          <w:lang w:eastAsia="en-US"/>
        </w:rPr>
        <w:t xml:space="preserve"> </w:t>
      </w:r>
      <w:r w:rsidRPr="00154FAB">
        <w:t>и Программа повышения качества обслуживания потребителей, утвержденные приказом  ОАО «Каббалкэнерго» от 10.12.2012 № 93. Данные документы разработаны на основании требований Основных положений функционирования розничных рынков электрической энергии, утвержденных Постановлением Правительства от РФ 04.05.2012 № 442. Внедрение Стандарта качества обслуживания потребителей и его реализация закреплены Программой мероприятий повышения качества обслуживания потребителей (покупателей) электрической энергии.</w:t>
      </w:r>
    </w:p>
    <w:p w:rsidR="00154FAB" w:rsidRPr="00154FAB" w:rsidRDefault="00154FAB" w:rsidP="00154FAB">
      <w:pPr>
        <w:ind w:firstLine="709"/>
        <w:jc w:val="both"/>
      </w:pPr>
      <w:r w:rsidRPr="00154FAB">
        <w:t>Политика компании в области взаимодействия с потребителями заключается в обеспечении клиентоориентированного подхода при осуществлении деятельности. Основная цель клиентоориентированного подхода - формирование лояльности потребителей к организации за счет качественного обслуживания и удовлетворения потребностей услуг в кратко- и долгосрочной перспективе.</w:t>
      </w:r>
    </w:p>
    <w:p w:rsidR="00154FAB" w:rsidRPr="00154FAB" w:rsidRDefault="00154FAB" w:rsidP="00154FAB">
      <w:pPr>
        <w:ind w:firstLine="708"/>
        <w:jc w:val="both"/>
      </w:pPr>
      <w:r w:rsidRPr="00154FAB">
        <w:t>Основными принципами Стандарта качества обслуживания потребителей являются:</w:t>
      </w:r>
    </w:p>
    <w:p w:rsidR="00154FAB" w:rsidRPr="00154FAB" w:rsidRDefault="00154FAB" w:rsidP="00AE0E97">
      <w:pPr>
        <w:numPr>
          <w:ilvl w:val="0"/>
          <w:numId w:val="25"/>
        </w:numPr>
        <w:tabs>
          <w:tab w:val="left" w:pos="993"/>
        </w:tabs>
        <w:ind w:left="0" w:firstLine="709"/>
        <w:jc w:val="both"/>
      </w:pPr>
      <w:r w:rsidRPr="00154FAB">
        <w:t>территориальная доступность. Расположение подразделений компании, осуществляющих очное обслуживание клиентов, обеспечивает покрытие зоны деятельности гарантирующего поставщика и доступность обслуживания потребителей.</w:t>
      </w:r>
    </w:p>
    <w:p w:rsidR="00154FAB" w:rsidRPr="00154FAB" w:rsidRDefault="00154FAB" w:rsidP="00AE0E97">
      <w:pPr>
        <w:numPr>
          <w:ilvl w:val="0"/>
          <w:numId w:val="25"/>
        </w:numPr>
        <w:tabs>
          <w:tab w:val="left" w:pos="993"/>
        </w:tabs>
        <w:ind w:left="0" w:firstLine="709"/>
        <w:jc w:val="both"/>
      </w:pPr>
      <w:r w:rsidRPr="00154FAB">
        <w:t>квалифицированное обслуживание. Организация всех форм сервиса с целью обеспечения высокого уровня квалификации и компетенции обслуживающего персонала компании.</w:t>
      </w:r>
    </w:p>
    <w:p w:rsidR="00154FAB" w:rsidRPr="00154FAB" w:rsidRDefault="00154FAB" w:rsidP="00AE0E97">
      <w:pPr>
        <w:numPr>
          <w:ilvl w:val="0"/>
          <w:numId w:val="25"/>
        </w:numPr>
        <w:tabs>
          <w:tab w:val="left" w:pos="993"/>
        </w:tabs>
        <w:ind w:left="0" w:firstLine="709"/>
        <w:jc w:val="both"/>
      </w:pPr>
      <w:r w:rsidRPr="00154FAB">
        <w:t>доступность и оперативность заочного и интерактивного сервисов компании. Каналы заочной коммуникации с потребителями обеспечивают круглосуточный доступ к заочному сервису и оперативность реакции компании на запросы потребителя.</w:t>
      </w:r>
    </w:p>
    <w:p w:rsidR="00154FAB" w:rsidRPr="00154FAB" w:rsidRDefault="00154FAB" w:rsidP="00AE0E97">
      <w:pPr>
        <w:numPr>
          <w:ilvl w:val="0"/>
          <w:numId w:val="25"/>
        </w:numPr>
        <w:tabs>
          <w:tab w:val="left" w:pos="993"/>
        </w:tabs>
        <w:ind w:left="0" w:firstLine="709"/>
        <w:jc w:val="both"/>
      </w:pPr>
      <w:r w:rsidRPr="00154FAB">
        <w:t>информированность потребителей о компании и услугах. Полная и достоверная информация обо всех процедурах взаимодействия с Обществом носит публичный характер и предоставляется в доступной форме для всех потребителей.</w:t>
      </w:r>
    </w:p>
    <w:p w:rsidR="00154FAB" w:rsidRPr="00154FAB" w:rsidRDefault="00154FAB" w:rsidP="00AE0E97">
      <w:pPr>
        <w:numPr>
          <w:ilvl w:val="0"/>
          <w:numId w:val="25"/>
        </w:numPr>
        <w:tabs>
          <w:tab w:val="left" w:pos="993"/>
        </w:tabs>
        <w:ind w:left="0" w:firstLine="709"/>
        <w:jc w:val="both"/>
      </w:pPr>
      <w:r w:rsidRPr="00154FAB">
        <w:t xml:space="preserve">прозрачность бизнес-процессов обслуживания потребителей. Бизнес-процессы обслуживания потребителей формализованы, описаны и прозрачны для обеспечения контролируемости и управляемости процедур взаимодействия с потребителями. </w:t>
      </w:r>
    </w:p>
    <w:p w:rsidR="00154FAB" w:rsidRPr="00154FAB" w:rsidRDefault="00154FAB" w:rsidP="00AE0E97">
      <w:pPr>
        <w:numPr>
          <w:ilvl w:val="0"/>
          <w:numId w:val="25"/>
        </w:numPr>
        <w:tabs>
          <w:tab w:val="left" w:pos="993"/>
        </w:tabs>
        <w:spacing w:after="200"/>
        <w:ind w:left="0" w:firstLine="709"/>
        <w:jc w:val="both"/>
      </w:pPr>
      <w:r w:rsidRPr="00154FAB">
        <w:t>объективность рассмотрения жалоб клиентов. Общество обеспечивает объективное и непредвзятое рассмотрение жалоб в установленные сроки, возможность обжалования решений, порядок которого доводиться до потребителей в соответствии с принципом информированности клиентов.</w:t>
      </w:r>
    </w:p>
    <w:p w:rsidR="00154FAB" w:rsidRPr="00154FAB" w:rsidRDefault="00154FAB" w:rsidP="00154FAB">
      <w:pPr>
        <w:ind w:firstLine="709"/>
        <w:jc w:val="both"/>
      </w:pPr>
      <w:r w:rsidRPr="00154FAB">
        <w:t>В рамках реализации Программы повышения качества обслуживания потребителей  в  2014 году открыты шесть Центров обслуживания клиентов (ЦОК) в районах республики и в г.о. Нальчик.</w:t>
      </w:r>
    </w:p>
    <w:p w:rsidR="00154FAB" w:rsidRPr="00154FAB" w:rsidRDefault="00154FAB" w:rsidP="00AE0E97">
      <w:pPr>
        <w:numPr>
          <w:ilvl w:val="0"/>
          <w:numId w:val="25"/>
        </w:numPr>
        <w:tabs>
          <w:tab w:val="left" w:pos="993"/>
        </w:tabs>
        <w:ind w:hanging="11"/>
        <w:contextualSpacing/>
        <w:jc w:val="both"/>
      </w:pPr>
      <w:r w:rsidRPr="00154FAB">
        <w:t>в Лескенском районе, с. Анзорей, ул.Хамгокова 22,</w:t>
      </w:r>
      <w:r w:rsidRPr="00154FAB">
        <w:rPr>
          <w:color w:val="FF0000"/>
        </w:rPr>
        <w:t xml:space="preserve"> </w:t>
      </w:r>
      <w:r w:rsidRPr="00154FAB">
        <w:t>15 мая 2014 года;</w:t>
      </w:r>
    </w:p>
    <w:p w:rsidR="00154FAB" w:rsidRPr="00154FAB" w:rsidRDefault="00154FAB" w:rsidP="00AE0E97">
      <w:pPr>
        <w:numPr>
          <w:ilvl w:val="0"/>
          <w:numId w:val="25"/>
        </w:numPr>
        <w:tabs>
          <w:tab w:val="left" w:pos="993"/>
        </w:tabs>
        <w:ind w:hanging="11"/>
        <w:contextualSpacing/>
        <w:jc w:val="both"/>
      </w:pPr>
      <w:r w:rsidRPr="00154FAB">
        <w:t>в Терском районе, г.Терек ,ул. Ленина 32, 27 августа 2014 года;</w:t>
      </w:r>
    </w:p>
    <w:p w:rsidR="00154FAB" w:rsidRPr="00154FAB" w:rsidRDefault="00154FAB" w:rsidP="00AE0E97">
      <w:pPr>
        <w:numPr>
          <w:ilvl w:val="0"/>
          <w:numId w:val="25"/>
        </w:numPr>
        <w:tabs>
          <w:tab w:val="left" w:pos="993"/>
        </w:tabs>
        <w:ind w:hanging="11"/>
        <w:contextualSpacing/>
        <w:jc w:val="both"/>
      </w:pPr>
      <w:r w:rsidRPr="00154FAB">
        <w:t>в Черекском районе, п.Кашхатау, ул. Мечиева 141,17 сентября 2014 года;</w:t>
      </w:r>
    </w:p>
    <w:p w:rsidR="00154FAB" w:rsidRPr="00154FAB" w:rsidRDefault="00154FAB" w:rsidP="00AE0E97">
      <w:pPr>
        <w:numPr>
          <w:ilvl w:val="0"/>
          <w:numId w:val="25"/>
        </w:numPr>
        <w:tabs>
          <w:tab w:val="left" w:pos="993"/>
        </w:tabs>
        <w:ind w:hanging="11"/>
        <w:contextualSpacing/>
        <w:jc w:val="both"/>
      </w:pPr>
      <w:r w:rsidRPr="00154FAB">
        <w:t>в Зольском районе, п. Залукокоаже,ул.Комсомольская 34, 9 октября 2014 г;</w:t>
      </w:r>
    </w:p>
    <w:p w:rsidR="00154FAB" w:rsidRPr="00154FAB" w:rsidRDefault="00154FAB" w:rsidP="00AE0E97">
      <w:pPr>
        <w:numPr>
          <w:ilvl w:val="0"/>
          <w:numId w:val="25"/>
        </w:numPr>
        <w:tabs>
          <w:tab w:val="left" w:pos="993"/>
        </w:tabs>
        <w:ind w:hanging="11"/>
        <w:contextualSpacing/>
        <w:jc w:val="both"/>
      </w:pPr>
      <w:r w:rsidRPr="00154FAB">
        <w:t>г.Нальчик, ул. Хуранова 9, 3 декабря 2014 года;</w:t>
      </w:r>
    </w:p>
    <w:p w:rsidR="00154FAB" w:rsidRPr="00154FAB" w:rsidRDefault="00154FAB" w:rsidP="00AE0E97">
      <w:pPr>
        <w:numPr>
          <w:ilvl w:val="0"/>
          <w:numId w:val="25"/>
        </w:numPr>
        <w:tabs>
          <w:tab w:val="left" w:pos="993"/>
        </w:tabs>
        <w:ind w:hanging="11"/>
        <w:contextualSpacing/>
        <w:jc w:val="both"/>
      </w:pPr>
      <w:r w:rsidRPr="00154FAB">
        <w:t>г.Нальчик,ул. Кабардинская 152, 27 марта 2014 года.</w:t>
      </w:r>
    </w:p>
    <w:p w:rsidR="00154FAB" w:rsidRPr="00154FAB" w:rsidRDefault="00154FAB" w:rsidP="00154FAB">
      <w:pPr>
        <w:ind w:left="720"/>
        <w:contextualSpacing/>
        <w:jc w:val="both"/>
      </w:pPr>
    </w:p>
    <w:p w:rsidR="00154FAB" w:rsidRPr="00154FAB" w:rsidRDefault="00154FAB" w:rsidP="00154FAB">
      <w:pPr>
        <w:ind w:left="720"/>
        <w:contextualSpacing/>
        <w:jc w:val="both"/>
      </w:pPr>
    </w:p>
    <w:p w:rsidR="00154FAB" w:rsidRPr="00154FAB" w:rsidRDefault="00154FAB" w:rsidP="00154FAB">
      <w:pPr>
        <w:ind w:left="720"/>
        <w:contextualSpacing/>
        <w:jc w:val="both"/>
      </w:pPr>
    </w:p>
    <w:p w:rsidR="00154FAB" w:rsidRPr="00154FAB" w:rsidRDefault="00154FAB" w:rsidP="00154FAB">
      <w:pPr>
        <w:ind w:left="720"/>
        <w:contextualSpacing/>
        <w:jc w:val="both"/>
      </w:pPr>
    </w:p>
    <w:p w:rsidR="00154FAB" w:rsidRPr="00154FAB" w:rsidRDefault="00154FAB" w:rsidP="00154FAB">
      <w:pPr>
        <w:ind w:left="720"/>
        <w:contextualSpacing/>
        <w:jc w:val="both"/>
      </w:pPr>
    </w:p>
    <w:p w:rsidR="00154FAB" w:rsidRPr="00154FAB" w:rsidRDefault="00154FAB" w:rsidP="00154FAB">
      <w:pPr>
        <w:ind w:left="720"/>
        <w:contextualSpacing/>
        <w:jc w:val="both"/>
      </w:pPr>
    </w:p>
    <w:p w:rsidR="00154FAB" w:rsidRPr="00154FAB" w:rsidRDefault="00154FAB" w:rsidP="00154FAB">
      <w:pPr>
        <w:ind w:left="720"/>
        <w:contextualSpacing/>
        <w:jc w:val="both"/>
      </w:pPr>
      <w:r w:rsidRPr="00154FAB">
        <w:rPr>
          <w:noProof/>
        </w:rPr>
        <w:drawing>
          <wp:inline distT="0" distB="0" distL="0" distR="0" wp14:anchorId="7E63FA5F" wp14:editId="5C88FF47">
            <wp:extent cx="5201728" cy="3019246"/>
            <wp:effectExtent l="0" t="0" r="0" b="0"/>
            <wp:docPr id="22" name="Рисунок 22" descr="C:\Users\ttttt\Desktop\phoca_thumb_l_p10702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tttt\Desktop\phoca_thumb_l_p1070252.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02776" cy="3019854"/>
                    </a:xfrm>
                    <a:prstGeom prst="rect">
                      <a:avLst/>
                    </a:prstGeom>
                    <a:noFill/>
                    <a:ln>
                      <a:noFill/>
                    </a:ln>
                  </pic:spPr>
                </pic:pic>
              </a:graphicData>
            </a:graphic>
          </wp:inline>
        </w:drawing>
      </w:r>
    </w:p>
    <w:p w:rsidR="00154FAB" w:rsidRPr="00154FAB" w:rsidRDefault="00154FAB" w:rsidP="00154FAB">
      <w:pPr>
        <w:ind w:firstLine="709"/>
        <w:contextualSpacing/>
        <w:jc w:val="both"/>
      </w:pPr>
    </w:p>
    <w:p w:rsidR="00154FAB" w:rsidRPr="00154FAB" w:rsidRDefault="00154FAB" w:rsidP="00154FAB">
      <w:pPr>
        <w:ind w:firstLine="709"/>
        <w:contextualSpacing/>
        <w:jc w:val="both"/>
      </w:pPr>
      <w:r w:rsidRPr="00154FAB">
        <w:t>В течение 2014 года в ЦОК произвели оплату за потребленную электроэнергию на общую сумму 176,3 млн. руб. Обслуживание в ЦОК существенно сократило время на оплату счетов. Кроме того, удобное расположение, внимательное отношение к посетителям, компетентность сотрудников, комфортные условия обслуживания и, что немаловажно, возможность в одном месте произвести оплату не только за потребленную электроэнергию, но и за другие коммунальные услуги, делают ЦОК все более популярным и востребованным среди клиентов Общества. Как показало время, ЦОК на практике доказал свою эффективность в работе с потребителями. Его услуги востребованы, а создание подобной системы обслуживания клиентов полностью оправдано.</w:t>
      </w:r>
    </w:p>
    <w:p w:rsidR="00154FAB" w:rsidRPr="00154FAB" w:rsidRDefault="00154FAB" w:rsidP="00154FAB">
      <w:pPr>
        <w:ind w:firstLine="349"/>
        <w:contextualSpacing/>
        <w:jc w:val="both"/>
      </w:pPr>
    </w:p>
    <w:p w:rsidR="00154FAB" w:rsidRPr="00154FAB" w:rsidRDefault="00154FAB" w:rsidP="00154FAB">
      <w:pPr>
        <w:ind w:firstLine="709"/>
        <w:jc w:val="both"/>
      </w:pPr>
      <w:r w:rsidRPr="00154FAB">
        <w:t xml:space="preserve"> Центр обслуживания клиентов представляет очную форму обслуживания клиентов.  В спектр функции ЦОК входит:</w:t>
      </w:r>
    </w:p>
    <w:p w:rsidR="00154FAB" w:rsidRPr="00154FAB" w:rsidRDefault="00154FAB" w:rsidP="00154FAB">
      <w:pPr>
        <w:ind w:firstLine="360"/>
        <w:jc w:val="both"/>
      </w:pPr>
      <w:r w:rsidRPr="00154FAB">
        <w:t xml:space="preserve"> 1) прием очных обращений потребителей услуг и их первичная обработка, в том числе:</w:t>
      </w:r>
    </w:p>
    <w:p w:rsidR="00154FAB" w:rsidRPr="00154FAB" w:rsidRDefault="00154FAB" w:rsidP="00AE0E97">
      <w:pPr>
        <w:numPr>
          <w:ilvl w:val="0"/>
          <w:numId w:val="23"/>
        </w:numPr>
        <w:jc w:val="both"/>
      </w:pPr>
      <w:r w:rsidRPr="00154FAB">
        <w:t>прием жалоб, обращений и предложений потребителей;</w:t>
      </w:r>
    </w:p>
    <w:p w:rsidR="00154FAB" w:rsidRPr="00154FAB" w:rsidRDefault="00154FAB" w:rsidP="00AE0E97">
      <w:pPr>
        <w:numPr>
          <w:ilvl w:val="0"/>
          <w:numId w:val="23"/>
        </w:numPr>
        <w:jc w:val="both"/>
      </w:pPr>
      <w:r w:rsidRPr="00154FAB">
        <w:t>прием заявок на заключение договоров энергоснабжения (купли-продажи электроэнергии), проверка соблюдения требований к форме, полноте сведений в заявке и наличия документов, приложенных к заявке, в соответствии с нормативными правовыми актами и организационно-распорядительными документами;</w:t>
      </w:r>
    </w:p>
    <w:p w:rsidR="00154FAB" w:rsidRPr="00154FAB" w:rsidRDefault="00154FAB" w:rsidP="00AE0E97">
      <w:pPr>
        <w:numPr>
          <w:ilvl w:val="0"/>
          <w:numId w:val="23"/>
        </w:numPr>
        <w:jc w:val="both"/>
      </w:pPr>
      <w:r w:rsidRPr="00154FAB">
        <w:t>прием заявок на оказание дополнительных услуг, проверка соблюдения требований к форме, полноте сведений в заявке и наличия документов, приложенных к заявке, в соответствии с нормативными правовыми актами и организационно-распорядительными документами.</w:t>
      </w:r>
    </w:p>
    <w:p w:rsidR="00154FAB" w:rsidRPr="00154FAB" w:rsidRDefault="00154FAB" w:rsidP="00154FAB">
      <w:pPr>
        <w:ind w:firstLine="360"/>
        <w:jc w:val="both"/>
      </w:pPr>
      <w:r w:rsidRPr="00154FAB">
        <w:t>2) предоставление справочной информации, консультаций и типовых форм документов по основным и дополнительным услугам компании;</w:t>
      </w:r>
    </w:p>
    <w:p w:rsidR="00154FAB" w:rsidRPr="00154FAB" w:rsidRDefault="00154FAB" w:rsidP="00154FAB">
      <w:pPr>
        <w:ind w:firstLine="360"/>
        <w:jc w:val="both"/>
      </w:pPr>
      <w:r w:rsidRPr="00154FAB">
        <w:t>3) организация, сопровождение и контроль работы по обращениям потребителей в структурных подразделениях, информационное сопровождение потребителя при оказании услуг и координация процесса взаимодействия между потребителями и структурными подразделениями Общества;</w:t>
      </w:r>
    </w:p>
    <w:p w:rsidR="00154FAB" w:rsidRPr="00154FAB" w:rsidRDefault="00154FAB" w:rsidP="00154FAB">
      <w:pPr>
        <w:ind w:firstLine="360"/>
        <w:jc w:val="both"/>
      </w:pPr>
      <w:r w:rsidRPr="00154FAB">
        <w:t>4) прием и выдача документов потребителям, в том числе договоров энергоснабжения (купли-продажи электроэнергии), договоров оказания дополнительных услуг;</w:t>
      </w:r>
    </w:p>
    <w:p w:rsidR="00154FAB" w:rsidRPr="00154FAB" w:rsidRDefault="00154FAB" w:rsidP="00154FAB">
      <w:pPr>
        <w:ind w:firstLine="360"/>
        <w:jc w:val="both"/>
      </w:pPr>
      <w:r w:rsidRPr="00154FAB">
        <w:lastRenderedPageBreak/>
        <w:t>5) формирование статистической отчетности по работе с очными обращениями клиентов;</w:t>
      </w:r>
    </w:p>
    <w:p w:rsidR="00154FAB" w:rsidRPr="00154FAB" w:rsidRDefault="00154FAB" w:rsidP="00154FAB">
      <w:pPr>
        <w:ind w:firstLine="360"/>
        <w:jc w:val="both"/>
      </w:pPr>
      <w:r w:rsidRPr="00154FAB">
        <w:t xml:space="preserve">6) проведение целевых опросов, анкетирования потребителей для изучения рынка потенциальных дополнительных сервисов, перспективных направлений развития клиентского сервиса компании, удовлетворенности потребителей качеством оказываемых услуг; </w:t>
      </w:r>
    </w:p>
    <w:p w:rsidR="00154FAB" w:rsidRPr="00154FAB" w:rsidRDefault="00154FAB" w:rsidP="00154FAB">
      <w:pPr>
        <w:ind w:firstLine="360"/>
        <w:jc w:val="both"/>
      </w:pPr>
      <w:r w:rsidRPr="00154FAB">
        <w:t>7) прием платежей от потребителей</w:t>
      </w:r>
      <w:r w:rsidRPr="00154FAB">
        <w:rPr>
          <w:rFonts w:asciiTheme="minorHAnsi" w:eastAsiaTheme="minorHAnsi" w:hAnsiTheme="minorHAnsi" w:cstheme="minorBidi"/>
          <w:sz w:val="22"/>
          <w:szCs w:val="22"/>
          <w:lang w:eastAsia="en-US"/>
        </w:rPr>
        <w:t xml:space="preserve"> </w:t>
      </w:r>
      <w:r w:rsidRPr="00154FAB">
        <w:t>за потребленную электроэнергию;</w:t>
      </w:r>
    </w:p>
    <w:p w:rsidR="00154FAB" w:rsidRPr="00154FAB" w:rsidRDefault="00154FAB" w:rsidP="00154FAB">
      <w:pPr>
        <w:ind w:firstLine="360"/>
        <w:jc w:val="both"/>
      </w:pPr>
      <w:r w:rsidRPr="00154FAB">
        <w:t>8) контроль качества очного обслуживания;</w:t>
      </w:r>
    </w:p>
    <w:p w:rsidR="00154FAB" w:rsidRPr="00154FAB" w:rsidRDefault="00154FAB" w:rsidP="00154FAB">
      <w:pPr>
        <w:ind w:firstLine="360"/>
        <w:jc w:val="both"/>
      </w:pPr>
      <w:r w:rsidRPr="00154FAB">
        <w:t>9) организация и проведение PR-кампаний, направленных на формирование положительного имиджа Общества.</w:t>
      </w:r>
    </w:p>
    <w:p w:rsidR="00154FAB" w:rsidRPr="00154FAB" w:rsidRDefault="00154FAB" w:rsidP="00154FAB">
      <w:pPr>
        <w:ind w:firstLine="709"/>
        <w:contextualSpacing/>
        <w:jc w:val="both"/>
      </w:pPr>
    </w:p>
    <w:p w:rsidR="00154FAB" w:rsidRPr="00154FAB" w:rsidRDefault="00154FAB" w:rsidP="00154FAB">
      <w:pPr>
        <w:ind w:firstLine="709"/>
        <w:contextualSpacing/>
        <w:jc w:val="both"/>
      </w:pPr>
      <w:r w:rsidRPr="00154FAB">
        <w:t>В соответствии с Сетевым графиком открытия Центров обслуживания клиентов в 2015 году  планируется открытие  четырех центров обслуживания клиентов в районных центрах республики:</w:t>
      </w:r>
    </w:p>
    <w:p w:rsidR="00154FAB" w:rsidRPr="00154FAB" w:rsidRDefault="00154FAB" w:rsidP="00AE0E97">
      <w:pPr>
        <w:numPr>
          <w:ilvl w:val="0"/>
          <w:numId w:val="26"/>
        </w:numPr>
        <w:ind w:left="709"/>
        <w:contextualSpacing/>
        <w:jc w:val="both"/>
      </w:pPr>
      <w:r w:rsidRPr="00154FAB">
        <w:t>Чегемском районе, г. Чегем;</w:t>
      </w:r>
    </w:p>
    <w:p w:rsidR="00154FAB" w:rsidRPr="00154FAB" w:rsidRDefault="00154FAB" w:rsidP="00AE0E97">
      <w:pPr>
        <w:numPr>
          <w:ilvl w:val="0"/>
          <w:numId w:val="26"/>
        </w:numPr>
        <w:ind w:left="709"/>
        <w:contextualSpacing/>
        <w:jc w:val="both"/>
      </w:pPr>
      <w:r w:rsidRPr="00154FAB">
        <w:t>Урванском районе, г. Нарткала;</w:t>
      </w:r>
    </w:p>
    <w:p w:rsidR="00154FAB" w:rsidRPr="00154FAB" w:rsidRDefault="00154FAB" w:rsidP="00AE0E97">
      <w:pPr>
        <w:numPr>
          <w:ilvl w:val="0"/>
          <w:numId w:val="26"/>
        </w:numPr>
        <w:ind w:left="709"/>
        <w:contextualSpacing/>
        <w:jc w:val="both"/>
      </w:pPr>
      <w:r w:rsidRPr="00154FAB">
        <w:t>Майском районе, г.Майский;</w:t>
      </w:r>
    </w:p>
    <w:p w:rsidR="00154FAB" w:rsidRPr="00154FAB" w:rsidRDefault="00154FAB" w:rsidP="00AE0E97">
      <w:pPr>
        <w:numPr>
          <w:ilvl w:val="0"/>
          <w:numId w:val="26"/>
        </w:numPr>
        <w:ind w:left="709"/>
        <w:contextualSpacing/>
        <w:jc w:val="both"/>
      </w:pPr>
      <w:r w:rsidRPr="00154FAB">
        <w:t>Прохладненском районе, г. Прохладный.</w:t>
      </w:r>
    </w:p>
    <w:p w:rsidR="00154FAB" w:rsidRPr="00154FAB" w:rsidRDefault="00154FAB" w:rsidP="00154FAB">
      <w:pPr>
        <w:ind w:firstLine="709"/>
        <w:contextualSpacing/>
        <w:jc w:val="both"/>
      </w:pPr>
      <w:r w:rsidRPr="00154FAB">
        <w:t xml:space="preserve">На открытие и оснащение новых ЦОК в 2015 году Обществом запланированы расходы в размере 6,99 млн.руб. </w:t>
      </w:r>
    </w:p>
    <w:p w:rsidR="00154FAB" w:rsidRPr="00154FAB" w:rsidRDefault="00154FAB" w:rsidP="00154FAB">
      <w:pPr>
        <w:ind w:firstLine="709"/>
        <w:jc w:val="both"/>
      </w:pPr>
      <w:r w:rsidRPr="00154FAB">
        <w:t>В целях повышения информационной открытости и прозрачности работы Обществом  используется официальный интернет-сайт, с помощью которого налажена работа по оперативной публикации информации, подлежащей раскрытию, в соответствии с действующим законодательством. На сайте потребители смогут найти следующую информацию:</w:t>
      </w:r>
    </w:p>
    <w:p w:rsidR="00154FAB" w:rsidRPr="00154FAB" w:rsidRDefault="00154FAB" w:rsidP="00AE0E97">
      <w:pPr>
        <w:numPr>
          <w:ilvl w:val="0"/>
          <w:numId w:val="24"/>
        </w:numPr>
        <w:jc w:val="both"/>
      </w:pPr>
      <w:r w:rsidRPr="00154FAB">
        <w:t>нормативная база (нормативные правовые акты, постановления органов тарифного регулирования и др.);</w:t>
      </w:r>
    </w:p>
    <w:p w:rsidR="00154FAB" w:rsidRPr="00154FAB" w:rsidRDefault="00154FAB" w:rsidP="00AE0E97">
      <w:pPr>
        <w:numPr>
          <w:ilvl w:val="0"/>
          <w:numId w:val="24"/>
        </w:numPr>
        <w:jc w:val="both"/>
      </w:pPr>
      <w:r w:rsidRPr="00154FAB">
        <w:t>контакты компании, телефоны и адреса электронной почты должностных лиц;</w:t>
      </w:r>
    </w:p>
    <w:p w:rsidR="00154FAB" w:rsidRPr="00154FAB" w:rsidRDefault="00154FAB" w:rsidP="00AE0E97">
      <w:pPr>
        <w:numPr>
          <w:ilvl w:val="0"/>
          <w:numId w:val="24"/>
        </w:numPr>
        <w:jc w:val="both"/>
      </w:pPr>
      <w:r w:rsidRPr="00154FAB">
        <w:t>перечень документов, необходимых для заключения договора энергоснабжения (купли-продажи (поставки) электрической энергии, порядок его заключения, а также порядок получения информации о состоянии процесса заключения договора;</w:t>
      </w:r>
    </w:p>
    <w:p w:rsidR="00154FAB" w:rsidRPr="00154FAB" w:rsidRDefault="00154FAB" w:rsidP="00AE0E97">
      <w:pPr>
        <w:numPr>
          <w:ilvl w:val="0"/>
          <w:numId w:val="24"/>
        </w:numPr>
        <w:jc w:val="both"/>
      </w:pPr>
      <w:r w:rsidRPr="00154FAB">
        <w:t>порядок и условия оплаты за электрическую энергию;</w:t>
      </w:r>
    </w:p>
    <w:p w:rsidR="00154FAB" w:rsidRPr="00154FAB" w:rsidRDefault="00154FAB" w:rsidP="00AE0E97">
      <w:pPr>
        <w:numPr>
          <w:ilvl w:val="0"/>
          <w:numId w:val="24"/>
        </w:numPr>
        <w:jc w:val="both"/>
      </w:pPr>
      <w:r w:rsidRPr="00154FAB">
        <w:t>размер и порядок расчета стоимости электрической энергии, действующие тарифы и льготы;</w:t>
      </w:r>
    </w:p>
    <w:p w:rsidR="00154FAB" w:rsidRPr="00154FAB" w:rsidRDefault="00154FAB" w:rsidP="00AE0E97">
      <w:pPr>
        <w:numPr>
          <w:ilvl w:val="0"/>
          <w:numId w:val="24"/>
        </w:numPr>
        <w:jc w:val="both"/>
      </w:pPr>
      <w:r w:rsidRPr="00154FAB">
        <w:t>информация для акционеров и инвесторов: решения Совета директоров и собраний акционеров и т.д.;</w:t>
      </w:r>
    </w:p>
    <w:p w:rsidR="00154FAB" w:rsidRPr="00154FAB" w:rsidRDefault="00154FAB" w:rsidP="00AE0E97">
      <w:pPr>
        <w:numPr>
          <w:ilvl w:val="0"/>
          <w:numId w:val="24"/>
        </w:numPr>
        <w:jc w:val="both"/>
      </w:pPr>
      <w:r w:rsidRPr="00154FAB">
        <w:t>личные кабинеты  для потребителей-юридических лиц и потребителей-физических лиц,.</w:t>
      </w:r>
    </w:p>
    <w:p w:rsidR="00154FAB" w:rsidRPr="00154FAB" w:rsidRDefault="00154FAB" w:rsidP="00154FAB">
      <w:pPr>
        <w:ind w:firstLine="709"/>
        <w:jc w:val="both"/>
        <w:rPr>
          <w:b/>
        </w:rPr>
      </w:pPr>
      <w:r w:rsidRPr="00154FAB">
        <w:t>ОАО «Каббалкэнерго» осуществляет как очное, так и заочное обслуживание клиентов. В частности, прием денежных средств за потребленную электроэнергию возможно произвести как традиционным способом через кассы энергосбытовых отделений, Почты России, банки, так и с помощью платежных систем в сети «Интернет».</w:t>
      </w:r>
    </w:p>
    <w:p w:rsidR="00154FAB" w:rsidRPr="00154FAB" w:rsidRDefault="00154FAB" w:rsidP="00154FAB">
      <w:pPr>
        <w:ind w:firstLine="708"/>
        <w:jc w:val="both"/>
      </w:pPr>
      <w:r w:rsidRPr="00154FAB">
        <w:t>Для всех абонентов действует телефонная «горячая линия» («</w:t>
      </w:r>
      <w:r w:rsidRPr="00154FAB">
        <w:rPr>
          <w:lang w:val="en-US"/>
        </w:rPr>
        <w:t>Call</w:t>
      </w:r>
      <w:r w:rsidRPr="00154FAB">
        <w:t>-центр»)               - 8-800-775-39-19, на которую можно позвонить бесплатно из любого населенного пункта России. Каждый дозвонившийся получает квалифицированную помощь и консультацию по вопросам начислений за потребленную электрическую энергию, величины применяемых тарифов, установки приборов учета и многим другим.</w:t>
      </w:r>
    </w:p>
    <w:p w:rsidR="00154FAB" w:rsidRDefault="00154FAB" w:rsidP="00C43539">
      <w:pPr>
        <w:ind w:firstLine="708"/>
        <w:jc w:val="both"/>
      </w:pPr>
      <w:r w:rsidRPr="00154FAB">
        <w:t xml:space="preserve">В течение 2014 года в Call-центр поступило 16 594 обращений потребителей, в том числе по вопросам, связанным с задолженностью и оплатой за потребленную электроэнергию – 15 075, по вопросам, связанным с тарифами и нормативами - 498, по вопросам, связанным с льготами – 33, по вопросам технологического присоединения – 2, прочим вопросам – 986. В целях напоминания о необходимости своевременной оплаты и </w:t>
      </w:r>
      <w:r w:rsidRPr="00154FAB">
        <w:lastRenderedPageBreak/>
        <w:t>погашения задолженности за потребленную электроэнергию произведено 32 323 исходящих звонка.</w:t>
      </w:r>
    </w:p>
    <w:p w:rsidR="004A1E12" w:rsidRPr="00C43539" w:rsidRDefault="004A1E12" w:rsidP="00C43539">
      <w:pPr>
        <w:ind w:firstLine="708"/>
        <w:jc w:val="both"/>
      </w:pPr>
    </w:p>
    <w:p w:rsidR="00154FAB" w:rsidRPr="004A1E12" w:rsidRDefault="00154FAB" w:rsidP="00154FAB">
      <w:pPr>
        <w:ind w:firstLine="709"/>
        <w:jc w:val="center"/>
        <w:rPr>
          <w:b/>
          <w:sz w:val="28"/>
        </w:rPr>
      </w:pPr>
      <w:r w:rsidRPr="004A1E12">
        <w:rPr>
          <w:b/>
          <w:sz w:val="28"/>
        </w:rPr>
        <w:t>4.4. Сведения о дополнительных услугах</w:t>
      </w:r>
    </w:p>
    <w:p w:rsidR="00154FAB" w:rsidRPr="00154FAB" w:rsidRDefault="00154FAB" w:rsidP="00154FAB">
      <w:pPr>
        <w:jc w:val="both"/>
      </w:pPr>
    </w:p>
    <w:p w:rsidR="00154FAB" w:rsidRPr="00154FAB" w:rsidRDefault="00154FAB" w:rsidP="00154FAB">
      <w:pPr>
        <w:ind w:firstLine="709"/>
        <w:jc w:val="both"/>
      </w:pPr>
      <w:r w:rsidRPr="00154FAB">
        <w:t>В целях повышения эффективности деятельности и улучшения клиентоориентированой политики Общества, направленной на повышение качества обслуживания потребителей в отчетном году Обществом внедрены дополнительные услуги, оказываемые клиентам. Приказом ОАО «Каббалкэнерго» от 15.09.2014 № 169 утверждены Положение о прочей дополнительной деятельности ОАО «Каббалкэнерго» и Регламент оказания дополнительных услуг. В соответствии с указанным положением  потребителям оказываются следующие дополнительные услуги:</w:t>
      </w:r>
    </w:p>
    <w:p w:rsidR="00154FAB" w:rsidRPr="00154FAB" w:rsidRDefault="00154FAB" w:rsidP="00AE0E97">
      <w:pPr>
        <w:numPr>
          <w:ilvl w:val="0"/>
          <w:numId w:val="27"/>
        </w:numPr>
        <w:contextualSpacing/>
        <w:jc w:val="both"/>
      </w:pPr>
      <w:r w:rsidRPr="00154FAB">
        <w:t>предоставление дубликата договора энергоснабжения и приложений к нему;</w:t>
      </w:r>
    </w:p>
    <w:p w:rsidR="00154FAB" w:rsidRPr="00154FAB" w:rsidRDefault="00154FAB" w:rsidP="00AE0E97">
      <w:pPr>
        <w:numPr>
          <w:ilvl w:val="0"/>
          <w:numId w:val="27"/>
        </w:numPr>
        <w:contextualSpacing/>
        <w:jc w:val="both"/>
      </w:pPr>
      <w:r w:rsidRPr="00154FAB">
        <w:t>предоставление клиенту копий технической, платежной и иной документации;</w:t>
      </w:r>
    </w:p>
    <w:p w:rsidR="00154FAB" w:rsidRPr="00154FAB" w:rsidRDefault="00154FAB" w:rsidP="00AE0E97">
      <w:pPr>
        <w:numPr>
          <w:ilvl w:val="0"/>
          <w:numId w:val="27"/>
        </w:numPr>
        <w:contextualSpacing/>
        <w:jc w:val="both"/>
      </w:pPr>
      <w:r w:rsidRPr="00154FAB">
        <w:t>предоставление документов (счетов, актов) при несвоевременном сообщении клиентом информации об изменении своих реквизитов;</w:t>
      </w:r>
    </w:p>
    <w:p w:rsidR="00154FAB" w:rsidRPr="00154FAB" w:rsidRDefault="00154FAB" w:rsidP="00AE0E97">
      <w:pPr>
        <w:numPr>
          <w:ilvl w:val="0"/>
          <w:numId w:val="27"/>
        </w:numPr>
        <w:contextualSpacing/>
        <w:jc w:val="both"/>
      </w:pPr>
      <w:r w:rsidRPr="00154FAB">
        <w:t>предоставление потребителям заверенных копий платежной и иной имеющейся документации;</w:t>
      </w:r>
    </w:p>
    <w:p w:rsidR="00154FAB" w:rsidRPr="00154FAB" w:rsidRDefault="00154FAB" w:rsidP="00AE0E97">
      <w:pPr>
        <w:numPr>
          <w:ilvl w:val="0"/>
          <w:numId w:val="27"/>
        </w:numPr>
        <w:contextualSpacing/>
        <w:jc w:val="both"/>
      </w:pPr>
      <w:r w:rsidRPr="00154FAB">
        <w:t>оказание услуг потребителю по комплексному расчёту за отпущенную электроэнергию, включая выезд для съёма показаний электросчётчика и оформление счёта на оплату (по точкам учета);</w:t>
      </w:r>
    </w:p>
    <w:p w:rsidR="00154FAB" w:rsidRPr="00154FAB" w:rsidRDefault="00154FAB" w:rsidP="00AE0E97">
      <w:pPr>
        <w:numPr>
          <w:ilvl w:val="0"/>
          <w:numId w:val="27"/>
        </w:numPr>
        <w:contextualSpacing/>
        <w:jc w:val="both"/>
      </w:pPr>
      <w:r w:rsidRPr="00154FAB">
        <w:t>установка/замена приборов учета;</w:t>
      </w:r>
    </w:p>
    <w:p w:rsidR="00154FAB" w:rsidRPr="00154FAB" w:rsidRDefault="00154FAB" w:rsidP="00AE0E97">
      <w:pPr>
        <w:numPr>
          <w:ilvl w:val="0"/>
          <w:numId w:val="27"/>
        </w:numPr>
        <w:contextualSpacing/>
        <w:jc w:val="both"/>
      </w:pPr>
      <w:r w:rsidRPr="00154FAB">
        <w:t>подключение/отключение электроустановок потребителей.</w:t>
      </w:r>
    </w:p>
    <w:p w:rsidR="007F6DBF" w:rsidRDefault="007F6DBF" w:rsidP="00082D6C">
      <w:pPr>
        <w:pStyle w:val="a9"/>
        <w:spacing w:after="200" w:line="276" w:lineRule="auto"/>
        <w:ind w:left="0"/>
        <w:rPr>
          <w:rFonts w:eastAsiaTheme="minorHAnsi"/>
          <w:b/>
          <w:lang w:eastAsia="en-US"/>
        </w:rPr>
      </w:pPr>
    </w:p>
    <w:p w:rsidR="00154FAB" w:rsidRDefault="00154FAB" w:rsidP="00082D6C">
      <w:pPr>
        <w:pStyle w:val="a9"/>
        <w:spacing w:after="200" w:line="276" w:lineRule="auto"/>
        <w:ind w:left="0"/>
        <w:rPr>
          <w:rFonts w:eastAsiaTheme="minorHAnsi"/>
          <w:b/>
          <w:lang w:eastAsia="en-US"/>
        </w:rPr>
      </w:pPr>
    </w:p>
    <w:p w:rsidR="00154FAB" w:rsidRDefault="00154FAB" w:rsidP="00082D6C">
      <w:pPr>
        <w:pStyle w:val="a9"/>
        <w:spacing w:after="200" w:line="276" w:lineRule="auto"/>
        <w:ind w:left="0"/>
        <w:rPr>
          <w:rFonts w:eastAsiaTheme="minorHAnsi"/>
          <w:b/>
          <w:lang w:eastAsia="en-US"/>
        </w:rPr>
      </w:pPr>
    </w:p>
    <w:p w:rsidR="004A1E12" w:rsidRDefault="004A1E12" w:rsidP="00082D6C">
      <w:pPr>
        <w:pStyle w:val="a9"/>
        <w:spacing w:after="200" w:line="276" w:lineRule="auto"/>
        <w:ind w:left="0"/>
        <w:rPr>
          <w:rFonts w:eastAsiaTheme="minorHAnsi"/>
          <w:b/>
          <w:lang w:eastAsia="en-US"/>
        </w:rPr>
      </w:pPr>
    </w:p>
    <w:p w:rsidR="004A1E12" w:rsidRDefault="004A1E12" w:rsidP="00082D6C">
      <w:pPr>
        <w:pStyle w:val="a9"/>
        <w:spacing w:after="200" w:line="276" w:lineRule="auto"/>
        <w:ind w:left="0"/>
        <w:rPr>
          <w:rFonts w:eastAsiaTheme="minorHAnsi"/>
          <w:b/>
          <w:lang w:eastAsia="en-US"/>
        </w:rPr>
      </w:pPr>
    </w:p>
    <w:p w:rsidR="005378D7" w:rsidRPr="004A1E12" w:rsidRDefault="00C43539" w:rsidP="00C43539">
      <w:pPr>
        <w:spacing w:after="200" w:line="276" w:lineRule="auto"/>
        <w:jc w:val="center"/>
        <w:rPr>
          <w:b/>
          <w:sz w:val="32"/>
          <w:szCs w:val="28"/>
        </w:rPr>
      </w:pPr>
      <w:r w:rsidRPr="004A1E12">
        <w:rPr>
          <w:rFonts w:eastAsiaTheme="minorHAnsi"/>
          <w:b/>
          <w:sz w:val="32"/>
          <w:szCs w:val="28"/>
          <w:lang w:eastAsia="en-US"/>
        </w:rPr>
        <w:t xml:space="preserve">Раздел  5. </w:t>
      </w:r>
      <w:r w:rsidR="005378D7" w:rsidRPr="004A1E12">
        <w:rPr>
          <w:b/>
          <w:sz w:val="32"/>
          <w:szCs w:val="28"/>
        </w:rPr>
        <w:t>Корпоративное управление</w:t>
      </w:r>
    </w:p>
    <w:p w:rsidR="00C649E3" w:rsidRPr="004A1E12" w:rsidRDefault="00B77474" w:rsidP="00B77474">
      <w:pPr>
        <w:contextualSpacing/>
        <w:jc w:val="center"/>
        <w:rPr>
          <w:b/>
          <w:sz w:val="28"/>
        </w:rPr>
      </w:pPr>
      <w:r w:rsidRPr="004A1E12">
        <w:rPr>
          <w:b/>
          <w:sz w:val="28"/>
        </w:rPr>
        <w:t xml:space="preserve">5.1. </w:t>
      </w:r>
      <w:r w:rsidR="00C649E3" w:rsidRPr="004A1E12">
        <w:rPr>
          <w:b/>
          <w:sz w:val="28"/>
        </w:rPr>
        <w:t>Система корпоративного управления в Обществе</w:t>
      </w:r>
    </w:p>
    <w:p w:rsidR="00C649E3" w:rsidRPr="00C649E3" w:rsidRDefault="00C649E3" w:rsidP="00C649E3">
      <w:pPr>
        <w:jc w:val="center"/>
        <w:rPr>
          <w:b/>
        </w:rPr>
      </w:pPr>
    </w:p>
    <w:p w:rsidR="00C649E3" w:rsidRPr="00C649E3" w:rsidRDefault="00C649E3" w:rsidP="00C649E3">
      <w:pPr>
        <w:shd w:val="clear" w:color="auto" w:fill="FFFFFF"/>
        <w:ind w:firstLine="709"/>
        <w:jc w:val="both"/>
      </w:pPr>
      <w:r w:rsidRPr="00C649E3">
        <w:t xml:space="preserve">Под корпоративным управлением Общество понимает совокупность процессов, обеспечивающих управление и контроль за его деятельностью и включающих отношения между акционерами, Советом директоров и исполнительными органами Общества в интересах акционеров. </w:t>
      </w:r>
    </w:p>
    <w:p w:rsidR="00C649E3" w:rsidRPr="00C649E3" w:rsidRDefault="00C649E3" w:rsidP="00C649E3">
      <w:pPr>
        <w:ind w:firstLine="709"/>
        <w:jc w:val="both"/>
      </w:pPr>
      <w:r w:rsidRPr="00C649E3">
        <w:t>Корпоративное управление в Обществе основано на уважении прав и законных интересов его акционеров, инвесторов и иных заинтересованных лиц и осуществляется в соответствии с действующим законодательством Российской Федерации, Уставом                  ОАО «Каббалкэнерго» и  внутренними документами Общества.</w:t>
      </w:r>
    </w:p>
    <w:p w:rsidR="00C649E3" w:rsidRPr="00C649E3" w:rsidRDefault="00C649E3" w:rsidP="00C649E3">
      <w:pPr>
        <w:tabs>
          <w:tab w:val="num" w:pos="360"/>
        </w:tabs>
        <w:suppressAutoHyphens/>
        <w:autoSpaceDN w:val="0"/>
        <w:ind w:firstLine="709"/>
        <w:jc w:val="both"/>
      </w:pPr>
      <w:r w:rsidRPr="00C649E3">
        <w:t>Основными принципами корпоративного управления в Обществе являются подотчетность, справедливость, прозрачность и ответственность.</w:t>
      </w:r>
    </w:p>
    <w:p w:rsidR="00C649E3" w:rsidRPr="00C649E3" w:rsidRDefault="00C649E3" w:rsidP="00C649E3">
      <w:pPr>
        <w:tabs>
          <w:tab w:val="num" w:pos="360"/>
        </w:tabs>
        <w:suppressAutoHyphens/>
        <w:autoSpaceDN w:val="0"/>
        <w:ind w:firstLine="709"/>
        <w:jc w:val="both"/>
      </w:pPr>
      <w:r w:rsidRPr="00C649E3">
        <w:t>При осуществлении корпоративной деятельности Общество руководствуется следующими основными внутренними документами:</w:t>
      </w:r>
    </w:p>
    <w:p w:rsidR="00C649E3" w:rsidRPr="00C649E3" w:rsidRDefault="00C649E3" w:rsidP="00AE0E97">
      <w:pPr>
        <w:numPr>
          <w:ilvl w:val="0"/>
          <w:numId w:val="30"/>
        </w:numPr>
        <w:tabs>
          <w:tab w:val="left" w:pos="284"/>
        </w:tabs>
        <w:suppressAutoHyphens/>
        <w:ind w:left="0" w:firstLine="0"/>
        <w:contextualSpacing/>
        <w:jc w:val="both"/>
      </w:pPr>
      <w:r w:rsidRPr="00C649E3">
        <w:t>Устав ОАО «Каббалкэнерго» в новой редакции (утвержден годовым Общим собранием акционеров 26.06.2014, протокол от 01.07.2014 №42)</w:t>
      </w:r>
      <w:r w:rsidRPr="00C649E3">
        <w:rPr>
          <w:vertAlign w:val="superscript"/>
        </w:rPr>
        <w:footnoteReference w:id="1"/>
      </w:r>
      <w:r w:rsidRPr="00C649E3">
        <w:t xml:space="preserve">; </w:t>
      </w:r>
    </w:p>
    <w:p w:rsidR="00C649E3" w:rsidRPr="00C649E3" w:rsidRDefault="00C649E3" w:rsidP="00AE0E97">
      <w:pPr>
        <w:numPr>
          <w:ilvl w:val="0"/>
          <w:numId w:val="30"/>
        </w:numPr>
        <w:tabs>
          <w:tab w:val="left" w:pos="284"/>
        </w:tabs>
        <w:suppressAutoHyphens/>
        <w:ind w:left="0" w:firstLine="0"/>
        <w:contextualSpacing/>
        <w:jc w:val="both"/>
      </w:pPr>
      <w:r w:rsidRPr="00C649E3">
        <w:lastRenderedPageBreak/>
        <w:t>Положение о порядке подготовки и проведения Общего собрания акционеров Общества (утверждено годовым Общим собранием акционеров 26.06.2014, протокол от 01.07.2014 №42);</w:t>
      </w:r>
    </w:p>
    <w:p w:rsidR="00C649E3" w:rsidRPr="00C649E3" w:rsidRDefault="00C649E3" w:rsidP="00AE0E97">
      <w:pPr>
        <w:numPr>
          <w:ilvl w:val="0"/>
          <w:numId w:val="30"/>
        </w:numPr>
        <w:tabs>
          <w:tab w:val="left" w:pos="284"/>
        </w:tabs>
        <w:suppressAutoHyphens/>
        <w:ind w:left="0" w:firstLine="0"/>
        <w:contextualSpacing/>
        <w:jc w:val="both"/>
      </w:pPr>
      <w:r w:rsidRPr="00C649E3">
        <w:t xml:space="preserve">Положение о порядке созыва и проведения заседаний Совета директоров Общества (Протокол годового Общего собрания акционеров от </w:t>
      </w:r>
      <w:r w:rsidRPr="00C649E3">
        <w:rPr>
          <w:bCs/>
        </w:rPr>
        <w:t xml:space="preserve">28.05.2002 </w:t>
      </w:r>
      <w:r w:rsidRPr="00C649E3">
        <w:t>№</w:t>
      </w:r>
      <w:r w:rsidRPr="00C649E3">
        <w:rPr>
          <w:bCs/>
        </w:rPr>
        <w:t>16</w:t>
      </w:r>
      <w:r w:rsidRPr="00C649E3">
        <w:t>);</w:t>
      </w:r>
    </w:p>
    <w:p w:rsidR="00C649E3" w:rsidRPr="00C649E3" w:rsidRDefault="00C649E3" w:rsidP="00AE0E97">
      <w:pPr>
        <w:numPr>
          <w:ilvl w:val="0"/>
          <w:numId w:val="30"/>
        </w:numPr>
        <w:tabs>
          <w:tab w:val="left" w:pos="284"/>
        </w:tabs>
        <w:suppressAutoHyphens/>
        <w:ind w:left="0" w:firstLine="0"/>
        <w:contextualSpacing/>
        <w:jc w:val="both"/>
      </w:pPr>
      <w:r w:rsidRPr="00C649E3">
        <w:t>Положение о Ревизионной комиссии Общества (утверждено годовым Общим собранием акционеров 26.06.2014, протокол от 01.07.2014 №42);</w:t>
      </w:r>
    </w:p>
    <w:p w:rsidR="00C649E3" w:rsidRPr="00C649E3" w:rsidRDefault="00C649E3" w:rsidP="00AE0E97">
      <w:pPr>
        <w:numPr>
          <w:ilvl w:val="0"/>
          <w:numId w:val="30"/>
        </w:numPr>
        <w:tabs>
          <w:tab w:val="left" w:pos="284"/>
        </w:tabs>
        <w:suppressAutoHyphens/>
        <w:ind w:left="0" w:firstLine="0"/>
        <w:contextualSpacing/>
        <w:jc w:val="both"/>
      </w:pPr>
      <w:r w:rsidRPr="00C649E3">
        <w:t>Кодекс корпоративного управления (Протокол Совета директоров от 15.11.2006 №19).</w:t>
      </w:r>
    </w:p>
    <w:p w:rsidR="00C649E3" w:rsidRPr="00C649E3" w:rsidRDefault="00C649E3" w:rsidP="00C649E3">
      <w:pPr>
        <w:suppressAutoHyphens/>
        <w:ind w:firstLine="709"/>
        <w:jc w:val="both"/>
      </w:pPr>
      <w:r w:rsidRPr="00C649E3">
        <w:t>Помимо утвержденного Советом директоров Кодекса корпоративного управления Общество также руководствуется принципами и рекомендациями Кодекса корпоративного поведения, одобренного Правительством РФ от 28.11.2001 и рекомендованного к применению Распоряжением ФКЦБ РФ от 04.04.2002.</w:t>
      </w:r>
    </w:p>
    <w:p w:rsidR="00C649E3" w:rsidRPr="00C649E3" w:rsidRDefault="00C649E3" w:rsidP="002869A0">
      <w:pPr>
        <w:suppressAutoHyphens/>
        <w:ind w:firstLine="709"/>
        <w:jc w:val="both"/>
      </w:pPr>
      <w:r w:rsidRPr="00C649E3">
        <w:t xml:space="preserve">На корпоративном сайте Общества в сети Интернет  </w:t>
      </w:r>
      <w:hyperlink r:id="rId42" w:history="1">
        <w:r w:rsidR="002869A0" w:rsidRPr="005D474A">
          <w:rPr>
            <w:rStyle w:val="a8"/>
          </w:rPr>
          <w:t>http://kabbalkenergo.ru</w:t>
        </w:r>
      </w:hyperlink>
      <w:r w:rsidR="002869A0">
        <w:t xml:space="preserve"> </w:t>
      </w:r>
      <w:r w:rsidRPr="00C649E3">
        <w:t>размещены внутренние документы, решения органов управления, списки аффилированных лиц, бухгалтерская отчетность и иная важная информация об Обществе.</w:t>
      </w:r>
    </w:p>
    <w:p w:rsidR="00C649E3" w:rsidRPr="00C649E3" w:rsidRDefault="00C649E3" w:rsidP="00C649E3">
      <w:pPr>
        <w:ind w:firstLine="709"/>
        <w:jc w:val="both"/>
      </w:pPr>
      <w:r w:rsidRPr="00C649E3">
        <w:t>Раскрытие информации об Обществе осуществляется в соответствии с требованиями законодательства РФ, в частности:</w:t>
      </w:r>
    </w:p>
    <w:p w:rsidR="00C649E3" w:rsidRPr="00C649E3" w:rsidRDefault="00C649E3" w:rsidP="00C649E3">
      <w:pPr>
        <w:ind w:firstLine="709"/>
        <w:jc w:val="both"/>
      </w:pPr>
      <w:r w:rsidRPr="00C649E3">
        <w:t>- Федерального закона от 26.12.1995 № 208-ФЗ «Об акционерных обществах»;</w:t>
      </w:r>
    </w:p>
    <w:p w:rsidR="00C649E3" w:rsidRPr="00C649E3" w:rsidRDefault="00C649E3" w:rsidP="00C649E3">
      <w:pPr>
        <w:ind w:firstLine="709"/>
        <w:jc w:val="both"/>
      </w:pPr>
      <w:r w:rsidRPr="00C649E3">
        <w:t>- Федерального закона от 22.04.1996 № 39-ФЗ «О рынке ценных бумаг»;</w:t>
      </w:r>
    </w:p>
    <w:p w:rsidR="00C649E3" w:rsidRPr="00C649E3" w:rsidRDefault="00C649E3" w:rsidP="00C649E3">
      <w:pPr>
        <w:ind w:firstLine="709"/>
        <w:jc w:val="both"/>
        <w:rPr>
          <w:iCs/>
        </w:rPr>
      </w:pPr>
      <w:r w:rsidRPr="00C649E3">
        <w:rPr>
          <w:iCs/>
        </w:rPr>
        <w:t>- Положения о раскрытии информации эмитентами эмиссионных ценных бумаг, утвержденного Приказом ФСФР РФ от 04.10.2011 N 11-46/пз-н (утратило силу 16.03.2015);</w:t>
      </w:r>
    </w:p>
    <w:p w:rsidR="00C649E3" w:rsidRPr="00C649E3" w:rsidRDefault="00C649E3" w:rsidP="00C649E3">
      <w:pPr>
        <w:ind w:firstLine="709"/>
        <w:jc w:val="both"/>
        <w:rPr>
          <w:iCs/>
        </w:rPr>
      </w:pPr>
      <w:r w:rsidRPr="00C649E3">
        <w:rPr>
          <w:iCs/>
        </w:rPr>
        <w:t>-  Положения о раскрытии информации эмитентами эмиссионных ценных бумаг (утв. Банком России 30.12.2014 N 454-П, вступило в силу 17.03.2015);</w:t>
      </w:r>
    </w:p>
    <w:p w:rsidR="00C649E3" w:rsidRPr="00C649E3" w:rsidRDefault="00C649E3" w:rsidP="00C649E3">
      <w:pPr>
        <w:ind w:firstLine="709"/>
        <w:jc w:val="both"/>
      </w:pPr>
      <w:r w:rsidRPr="00C649E3">
        <w:t>- Стандартов раскрытия информации субъектами оптового и розничных рынков электроэнергии, утвержденных Постановлением Правительства РФ от 21.01.2004 № 24.</w:t>
      </w:r>
    </w:p>
    <w:p w:rsidR="00C649E3" w:rsidRPr="00C649E3" w:rsidRDefault="00C649E3" w:rsidP="00C649E3">
      <w:pPr>
        <w:ind w:firstLine="709"/>
        <w:jc w:val="both"/>
      </w:pPr>
      <w:r w:rsidRPr="00C649E3">
        <w:rPr>
          <w:iCs/>
        </w:rPr>
        <w:t xml:space="preserve">Общество </w:t>
      </w:r>
      <w:r w:rsidRPr="00C649E3">
        <w:t>публикует соответствующую информацию и документы</w:t>
      </w:r>
      <w:r w:rsidRPr="00C649E3">
        <w:rPr>
          <w:b/>
        </w:rPr>
        <w:t xml:space="preserve"> </w:t>
      </w:r>
      <w:r w:rsidRPr="00C649E3">
        <w:rPr>
          <w:iCs/>
        </w:rPr>
        <w:t>на странице в сети Интернет распространителя информации на рынке ценных бумаг - ЗАО «СКРИН»  (</w:t>
      </w:r>
      <w:hyperlink r:id="rId43" w:history="1">
        <w:r w:rsidRPr="00C649E3">
          <w:rPr>
            <w:iCs/>
            <w:color w:val="0000FF"/>
            <w:u w:val="single"/>
          </w:rPr>
          <w:t>http://disclosure.skrin.ru/disclosure/0711008455</w:t>
        </w:r>
      </w:hyperlink>
      <w:r w:rsidRPr="00C649E3">
        <w:rPr>
          <w:iCs/>
        </w:rPr>
        <w:t>) и на</w:t>
      </w:r>
      <w:r w:rsidRPr="00C649E3">
        <w:rPr>
          <w:b/>
          <w:iCs/>
        </w:rPr>
        <w:t xml:space="preserve"> </w:t>
      </w:r>
      <w:r w:rsidRPr="00C649E3">
        <w:t xml:space="preserve">корпоративном сайте Общества по адресу в сети Интернет -  </w:t>
      </w:r>
      <w:hyperlink r:id="rId44" w:history="1">
        <w:r w:rsidRPr="00C649E3">
          <w:rPr>
            <w:color w:val="0000FF"/>
            <w:u w:val="single"/>
          </w:rPr>
          <w:t>http://kabbalkenergo.ru</w:t>
        </w:r>
      </w:hyperlink>
      <w:r w:rsidRPr="00C649E3">
        <w:t>.</w:t>
      </w:r>
    </w:p>
    <w:p w:rsidR="00C649E3" w:rsidRPr="00C649E3" w:rsidRDefault="00C649E3" w:rsidP="00C649E3">
      <w:pPr>
        <w:spacing w:before="240" w:after="240"/>
        <w:ind w:firstLine="709"/>
        <w:jc w:val="both"/>
      </w:pPr>
      <w:r w:rsidRPr="00C649E3">
        <w:t>Содержащиеся в настоящем Годовом отчете сведения о физических лицах раскрываются с соблюдением требований законодательства Российской Федерации в области персональных данных. Обществом получено согласие физических лиц, персональные сведения которых содержатся в настоящем Годовом отчете, на раскрытие указанных сведений.</w:t>
      </w:r>
    </w:p>
    <w:p w:rsidR="00C649E3" w:rsidRPr="0075673B" w:rsidRDefault="00B77474" w:rsidP="00B77474">
      <w:pPr>
        <w:keepNext/>
        <w:spacing w:after="240" w:line="360" w:lineRule="auto"/>
        <w:contextualSpacing/>
        <w:jc w:val="center"/>
        <w:outlineLvl w:val="0"/>
        <w:rPr>
          <w:b/>
          <w:sz w:val="28"/>
        </w:rPr>
      </w:pPr>
      <w:r w:rsidRPr="0075673B">
        <w:rPr>
          <w:b/>
          <w:sz w:val="28"/>
        </w:rPr>
        <w:t xml:space="preserve">5.2. </w:t>
      </w:r>
      <w:r w:rsidR="00C649E3" w:rsidRPr="0075673B">
        <w:rPr>
          <w:b/>
          <w:sz w:val="28"/>
        </w:rPr>
        <w:t>Органы управления и контроля</w:t>
      </w:r>
    </w:p>
    <w:p w:rsidR="00C649E3" w:rsidRPr="00C649E3" w:rsidRDefault="00C649E3" w:rsidP="00C649E3">
      <w:pPr>
        <w:tabs>
          <w:tab w:val="num" w:pos="0"/>
          <w:tab w:val="num" w:pos="1134"/>
        </w:tabs>
        <w:suppressAutoHyphens/>
        <w:ind w:firstLine="709"/>
        <w:jc w:val="both"/>
      </w:pPr>
      <w:r w:rsidRPr="00C649E3">
        <w:t>В соответствии со статьей 9 Устава ОАО «Каббалкэнерго» органами управления Общества являются:</w:t>
      </w:r>
    </w:p>
    <w:p w:rsidR="00C649E3" w:rsidRPr="00C649E3" w:rsidRDefault="00C649E3" w:rsidP="00C649E3">
      <w:pPr>
        <w:suppressAutoHyphens/>
        <w:ind w:left="709"/>
        <w:rPr>
          <w:snapToGrid w:val="0"/>
        </w:rPr>
      </w:pPr>
      <w:r w:rsidRPr="00C649E3">
        <w:rPr>
          <w:snapToGrid w:val="0"/>
        </w:rPr>
        <w:t>- Общее собрание акционеров;</w:t>
      </w:r>
    </w:p>
    <w:p w:rsidR="00C649E3" w:rsidRPr="00C649E3" w:rsidRDefault="00C649E3" w:rsidP="00C649E3">
      <w:pPr>
        <w:suppressAutoHyphens/>
        <w:ind w:left="709"/>
        <w:contextualSpacing/>
        <w:rPr>
          <w:snapToGrid w:val="0"/>
        </w:rPr>
      </w:pPr>
      <w:r w:rsidRPr="00C649E3">
        <w:rPr>
          <w:snapToGrid w:val="0"/>
        </w:rPr>
        <w:t>- Совет директоров;</w:t>
      </w:r>
    </w:p>
    <w:p w:rsidR="00C649E3" w:rsidRPr="00C649E3" w:rsidRDefault="00C649E3" w:rsidP="00C649E3">
      <w:pPr>
        <w:suppressAutoHyphens/>
        <w:ind w:left="709"/>
        <w:contextualSpacing/>
        <w:rPr>
          <w:snapToGrid w:val="0"/>
        </w:rPr>
      </w:pPr>
      <w:r w:rsidRPr="00C649E3">
        <w:rPr>
          <w:snapToGrid w:val="0"/>
        </w:rPr>
        <w:t>- Генеральный директор (единоличный исполнительный орган).</w:t>
      </w:r>
    </w:p>
    <w:p w:rsidR="00C649E3" w:rsidRDefault="00C649E3" w:rsidP="00C649E3">
      <w:pPr>
        <w:autoSpaceDE w:val="0"/>
        <w:autoSpaceDN w:val="0"/>
        <w:adjustRightInd w:val="0"/>
        <w:ind w:firstLine="709"/>
        <w:jc w:val="both"/>
        <w:outlineLvl w:val="1"/>
      </w:pPr>
      <w:r w:rsidRPr="00C649E3">
        <w:t xml:space="preserve">Ревизионная комиссия Общества – орган, осуществляющий контроль  финансово-хозяйственной деятельности Общества. </w:t>
      </w:r>
    </w:p>
    <w:p w:rsidR="00857934" w:rsidRDefault="00857934" w:rsidP="00C649E3">
      <w:pPr>
        <w:autoSpaceDE w:val="0"/>
        <w:autoSpaceDN w:val="0"/>
        <w:adjustRightInd w:val="0"/>
        <w:ind w:firstLine="709"/>
        <w:jc w:val="both"/>
        <w:outlineLvl w:val="1"/>
      </w:pPr>
      <w:r>
        <w:t>Информация о совершенных ОАО «Каббалкэнерго» в 2014 году крупных сделках и сделках, в совершении которых имеется заинтересованность, представлена в Приложении к Годовому отчету.</w:t>
      </w:r>
    </w:p>
    <w:p w:rsidR="00C649E3" w:rsidRPr="0075673B" w:rsidRDefault="00C649E3" w:rsidP="00C649E3">
      <w:pPr>
        <w:autoSpaceDE w:val="0"/>
        <w:autoSpaceDN w:val="0"/>
        <w:adjustRightInd w:val="0"/>
        <w:ind w:firstLine="709"/>
        <w:jc w:val="both"/>
        <w:outlineLvl w:val="1"/>
        <w:rPr>
          <w:sz w:val="28"/>
        </w:rPr>
      </w:pPr>
    </w:p>
    <w:p w:rsidR="00C649E3" w:rsidRPr="0075673B" w:rsidRDefault="00B77474" w:rsidP="00B77474">
      <w:pPr>
        <w:spacing w:before="100" w:beforeAutospacing="1" w:after="100" w:afterAutospacing="1" w:line="360" w:lineRule="auto"/>
        <w:contextualSpacing/>
        <w:jc w:val="center"/>
        <w:rPr>
          <w:b/>
          <w:snapToGrid w:val="0"/>
          <w:sz w:val="28"/>
        </w:rPr>
      </w:pPr>
      <w:r w:rsidRPr="0075673B">
        <w:rPr>
          <w:b/>
          <w:snapToGrid w:val="0"/>
          <w:sz w:val="28"/>
        </w:rPr>
        <w:t xml:space="preserve">5.2.1. </w:t>
      </w:r>
      <w:r w:rsidR="00C649E3" w:rsidRPr="0075673B">
        <w:rPr>
          <w:b/>
          <w:snapToGrid w:val="0"/>
          <w:sz w:val="28"/>
        </w:rPr>
        <w:t>Общее собрание акционеров</w:t>
      </w:r>
    </w:p>
    <w:p w:rsidR="00C649E3" w:rsidRPr="00C649E3" w:rsidRDefault="00C649E3" w:rsidP="00C649E3">
      <w:pPr>
        <w:autoSpaceDE w:val="0"/>
        <w:autoSpaceDN w:val="0"/>
        <w:adjustRightInd w:val="0"/>
        <w:ind w:firstLine="709"/>
        <w:jc w:val="both"/>
        <w:outlineLvl w:val="1"/>
      </w:pPr>
      <w:r w:rsidRPr="00C649E3">
        <w:t>Высшим органом управления Общества является Общее собрание акционеров.</w:t>
      </w:r>
    </w:p>
    <w:p w:rsidR="00C649E3" w:rsidRPr="00C649E3" w:rsidRDefault="00C649E3" w:rsidP="00C649E3">
      <w:pPr>
        <w:widowControl w:val="0"/>
        <w:tabs>
          <w:tab w:val="left" w:pos="993"/>
        </w:tabs>
        <w:ind w:firstLine="709"/>
        <w:jc w:val="both"/>
        <w:rPr>
          <w:snapToGrid w:val="0"/>
        </w:rPr>
      </w:pPr>
      <w:r w:rsidRPr="00C649E3">
        <w:rPr>
          <w:snapToGrid w:val="0"/>
        </w:rPr>
        <w:lastRenderedPageBreak/>
        <w:t>Перечень вопросов, отнесенных к компетенции Общего собрания акционеров, установлен ст. 48  Федерального закона «Об акционерных обществах» и ст. 10 Устава Общества.</w:t>
      </w:r>
    </w:p>
    <w:p w:rsidR="00C649E3" w:rsidRPr="00C649E3" w:rsidRDefault="00C649E3" w:rsidP="00C649E3">
      <w:pPr>
        <w:widowControl w:val="0"/>
        <w:tabs>
          <w:tab w:val="left" w:pos="993"/>
        </w:tabs>
        <w:ind w:firstLine="709"/>
      </w:pPr>
      <w:r w:rsidRPr="00C649E3">
        <w:t>Вопросы, отнесенные к компетенции Общего собрания акционеров, не могут быть переданы на решение Совету директоров и Генеральному директору Общества.</w:t>
      </w:r>
    </w:p>
    <w:p w:rsidR="00C649E3" w:rsidRPr="00C649E3" w:rsidRDefault="00C649E3" w:rsidP="00C649E3">
      <w:pPr>
        <w:tabs>
          <w:tab w:val="left" w:pos="720"/>
        </w:tabs>
        <w:ind w:firstLine="709"/>
        <w:jc w:val="both"/>
      </w:pPr>
    </w:p>
    <w:p w:rsidR="00C649E3" w:rsidRPr="00C649E3" w:rsidRDefault="00C649E3" w:rsidP="00C649E3">
      <w:pPr>
        <w:tabs>
          <w:tab w:val="left" w:pos="720"/>
        </w:tabs>
        <w:ind w:firstLine="709"/>
        <w:jc w:val="both"/>
      </w:pPr>
      <w:r w:rsidRPr="00C649E3">
        <w:t>В отчетном периоде Годовое Общее собрание акционеров Общества состоялось 26.06.2014 года (Протокол от 01.07.2014 №42), на котором приняты следующие решения:</w:t>
      </w:r>
    </w:p>
    <w:p w:rsidR="00C649E3" w:rsidRPr="00C649E3" w:rsidRDefault="00C649E3" w:rsidP="00AE0E97">
      <w:pPr>
        <w:numPr>
          <w:ilvl w:val="0"/>
          <w:numId w:val="31"/>
        </w:numPr>
        <w:tabs>
          <w:tab w:val="left" w:pos="0"/>
          <w:tab w:val="left" w:pos="993"/>
        </w:tabs>
        <w:ind w:left="709" w:firstLine="0"/>
        <w:contextualSpacing/>
        <w:jc w:val="both"/>
      </w:pPr>
      <w:r w:rsidRPr="00C649E3">
        <w:rPr>
          <w:color w:val="000000"/>
        </w:rPr>
        <w:t>у</w:t>
      </w:r>
      <w:r w:rsidRPr="00C649E3">
        <w:t>твержден годовой отчет Общества;</w:t>
      </w:r>
    </w:p>
    <w:p w:rsidR="00C649E3" w:rsidRPr="00C649E3" w:rsidRDefault="00C649E3" w:rsidP="00AE0E97">
      <w:pPr>
        <w:numPr>
          <w:ilvl w:val="0"/>
          <w:numId w:val="31"/>
        </w:numPr>
        <w:tabs>
          <w:tab w:val="left" w:pos="0"/>
          <w:tab w:val="left" w:pos="993"/>
        </w:tabs>
        <w:ind w:left="709" w:firstLine="0"/>
        <w:contextualSpacing/>
        <w:jc w:val="both"/>
      </w:pPr>
      <w:r w:rsidRPr="00C649E3">
        <w:t>утверждена годовая бухгалтерская отчетность, в том числе отчет о прибылях и убытках Общества по результатам 2013 финансового года;</w:t>
      </w:r>
    </w:p>
    <w:p w:rsidR="00C649E3" w:rsidRPr="00C649E3" w:rsidRDefault="00C649E3" w:rsidP="00AE0E97">
      <w:pPr>
        <w:numPr>
          <w:ilvl w:val="0"/>
          <w:numId w:val="31"/>
        </w:numPr>
        <w:tabs>
          <w:tab w:val="left" w:pos="0"/>
          <w:tab w:val="left" w:pos="993"/>
        </w:tabs>
        <w:ind w:left="709" w:firstLine="0"/>
        <w:contextualSpacing/>
        <w:jc w:val="both"/>
      </w:pPr>
      <w:r w:rsidRPr="00C649E3">
        <w:t>утверждено распределение прибыли (убытков) Общества по результатам 2013 финансового года;</w:t>
      </w:r>
    </w:p>
    <w:p w:rsidR="00C649E3" w:rsidRPr="00C649E3" w:rsidRDefault="00C649E3" w:rsidP="00AE0E97">
      <w:pPr>
        <w:numPr>
          <w:ilvl w:val="0"/>
          <w:numId w:val="31"/>
        </w:numPr>
        <w:tabs>
          <w:tab w:val="left" w:pos="993"/>
        </w:tabs>
        <w:ind w:left="709" w:firstLine="0"/>
        <w:contextualSpacing/>
        <w:jc w:val="both"/>
        <w:rPr>
          <w:bCs/>
          <w:iCs/>
        </w:rPr>
      </w:pPr>
      <w:r w:rsidRPr="00C649E3">
        <w:t xml:space="preserve">принято решение </w:t>
      </w:r>
      <w:r w:rsidRPr="00C649E3">
        <w:rPr>
          <w:bCs/>
          <w:iCs/>
        </w:rPr>
        <w:t>не выплачивать дивиденды по обыкновенным акциям Общества по итогам 2013 года;</w:t>
      </w:r>
    </w:p>
    <w:p w:rsidR="00C649E3" w:rsidRPr="00C649E3" w:rsidRDefault="00C649E3" w:rsidP="00AE0E97">
      <w:pPr>
        <w:numPr>
          <w:ilvl w:val="0"/>
          <w:numId w:val="31"/>
        </w:numPr>
        <w:tabs>
          <w:tab w:val="left" w:pos="993"/>
        </w:tabs>
        <w:ind w:left="709" w:firstLine="0"/>
        <w:contextualSpacing/>
        <w:jc w:val="both"/>
        <w:rPr>
          <w:bCs/>
          <w:iCs/>
        </w:rPr>
      </w:pPr>
      <w:r w:rsidRPr="00C649E3">
        <w:t xml:space="preserve">принято решение </w:t>
      </w:r>
      <w:r w:rsidRPr="00C649E3">
        <w:rPr>
          <w:bCs/>
          <w:iCs/>
        </w:rPr>
        <w:t>не выплачивать дивиденды по привилегированным акциям Общества по итогам 2013 года;</w:t>
      </w:r>
    </w:p>
    <w:p w:rsidR="00C649E3" w:rsidRPr="00C649E3" w:rsidRDefault="00C649E3" w:rsidP="00AE0E97">
      <w:pPr>
        <w:numPr>
          <w:ilvl w:val="0"/>
          <w:numId w:val="31"/>
        </w:numPr>
        <w:tabs>
          <w:tab w:val="left" w:pos="0"/>
          <w:tab w:val="left" w:pos="993"/>
        </w:tabs>
        <w:ind w:left="709" w:firstLine="0"/>
        <w:contextualSpacing/>
        <w:jc w:val="both"/>
      </w:pPr>
      <w:r w:rsidRPr="00C649E3">
        <w:t>избран Совет директоров Общества;</w:t>
      </w:r>
    </w:p>
    <w:p w:rsidR="00C649E3" w:rsidRPr="00C649E3" w:rsidRDefault="00C649E3" w:rsidP="00AE0E97">
      <w:pPr>
        <w:numPr>
          <w:ilvl w:val="0"/>
          <w:numId w:val="31"/>
        </w:numPr>
        <w:tabs>
          <w:tab w:val="left" w:pos="0"/>
          <w:tab w:val="left" w:pos="993"/>
        </w:tabs>
        <w:ind w:left="709" w:firstLine="0"/>
        <w:contextualSpacing/>
        <w:jc w:val="both"/>
      </w:pPr>
      <w:r w:rsidRPr="00C649E3">
        <w:t>избрана Ревизионная комиссия Общества;</w:t>
      </w:r>
    </w:p>
    <w:p w:rsidR="00C649E3" w:rsidRPr="00C649E3" w:rsidRDefault="00C649E3" w:rsidP="00AE0E97">
      <w:pPr>
        <w:numPr>
          <w:ilvl w:val="0"/>
          <w:numId w:val="31"/>
        </w:numPr>
        <w:tabs>
          <w:tab w:val="left" w:pos="993"/>
        </w:tabs>
        <w:ind w:left="709" w:firstLine="0"/>
        <w:jc w:val="both"/>
      </w:pPr>
      <w:r w:rsidRPr="00C649E3">
        <w:t>утвержден аудитор Общества ООО «АДК-аудит»;</w:t>
      </w:r>
    </w:p>
    <w:p w:rsidR="00C649E3" w:rsidRPr="00C649E3" w:rsidRDefault="00C649E3" w:rsidP="00AE0E97">
      <w:pPr>
        <w:numPr>
          <w:ilvl w:val="0"/>
          <w:numId w:val="31"/>
        </w:numPr>
        <w:tabs>
          <w:tab w:val="left" w:pos="993"/>
        </w:tabs>
        <w:ind w:left="709" w:firstLine="0"/>
        <w:jc w:val="both"/>
      </w:pPr>
      <w:r w:rsidRPr="00C649E3">
        <w:t>утвержден Устав Общества в новой редакции;</w:t>
      </w:r>
    </w:p>
    <w:p w:rsidR="00C649E3" w:rsidRPr="00C649E3" w:rsidRDefault="00C649E3" w:rsidP="00AE0E97">
      <w:pPr>
        <w:numPr>
          <w:ilvl w:val="0"/>
          <w:numId w:val="31"/>
        </w:numPr>
        <w:tabs>
          <w:tab w:val="left" w:pos="993"/>
        </w:tabs>
        <w:ind w:left="709" w:firstLine="0"/>
        <w:jc w:val="both"/>
      </w:pPr>
      <w:r w:rsidRPr="00C649E3">
        <w:t>утверждены в новой редакции внутренние документы Общества - Положение о порядке подготовки и проведения Общего собрания акционеров Общества и Положение о Ревизионной комиссии Общества.</w:t>
      </w:r>
    </w:p>
    <w:p w:rsidR="00C649E3" w:rsidRPr="00C649E3" w:rsidRDefault="00C649E3" w:rsidP="00C649E3">
      <w:pPr>
        <w:ind w:firstLine="709"/>
      </w:pPr>
    </w:p>
    <w:p w:rsidR="00C649E3" w:rsidRDefault="00C649E3" w:rsidP="00C649E3">
      <w:pPr>
        <w:ind w:firstLine="709"/>
      </w:pPr>
      <w:r w:rsidRPr="00C649E3">
        <w:t>Внеочередные Общие собрания акционеров Общества в 2014 году не проводились.</w:t>
      </w:r>
    </w:p>
    <w:p w:rsidR="00C649E3" w:rsidRPr="00C649E3" w:rsidRDefault="00C649E3" w:rsidP="00C649E3">
      <w:pPr>
        <w:ind w:firstLine="709"/>
      </w:pPr>
    </w:p>
    <w:p w:rsidR="00C649E3" w:rsidRPr="0075673B" w:rsidRDefault="00C82396" w:rsidP="00C82396">
      <w:pPr>
        <w:spacing w:before="100" w:beforeAutospacing="1" w:after="100" w:afterAutospacing="1"/>
        <w:contextualSpacing/>
        <w:jc w:val="center"/>
        <w:rPr>
          <w:b/>
          <w:snapToGrid w:val="0"/>
          <w:sz w:val="28"/>
        </w:rPr>
      </w:pPr>
      <w:r w:rsidRPr="0075673B">
        <w:rPr>
          <w:b/>
          <w:snapToGrid w:val="0"/>
          <w:sz w:val="28"/>
        </w:rPr>
        <w:t xml:space="preserve">5.2.2. </w:t>
      </w:r>
      <w:r w:rsidR="00C649E3" w:rsidRPr="0075673B">
        <w:rPr>
          <w:b/>
          <w:snapToGrid w:val="0"/>
          <w:sz w:val="28"/>
        </w:rPr>
        <w:t>Совет директоров</w:t>
      </w:r>
    </w:p>
    <w:p w:rsidR="00C649E3" w:rsidRPr="00C649E3" w:rsidRDefault="00C649E3" w:rsidP="00C649E3">
      <w:pPr>
        <w:spacing w:before="100" w:beforeAutospacing="1" w:after="100" w:afterAutospacing="1"/>
        <w:ind w:left="709"/>
        <w:contextualSpacing/>
        <w:rPr>
          <w:b/>
          <w:snapToGrid w:val="0"/>
        </w:rPr>
      </w:pPr>
    </w:p>
    <w:p w:rsidR="00C649E3" w:rsidRPr="00C649E3" w:rsidRDefault="00C649E3" w:rsidP="00C649E3">
      <w:pPr>
        <w:tabs>
          <w:tab w:val="left" w:pos="720"/>
          <w:tab w:val="left" w:pos="993"/>
        </w:tabs>
        <w:ind w:firstLine="709"/>
        <w:jc w:val="both"/>
        <w:rPr>
          <w:snapToGrid w:val="0"/>
        </w:rPr>
      </w:pPr>
      <w:r w:rsidRPr="00C649E3">
        <w:rPr>
          <w:snapToGrid w:val="0"/>
        </w:rPr>
        <w:t>Совет директоров ОАО «Каббалкэнерго» осуществляет общее руководство деятельностью Общества за исключением решения вопросов, отнесенных Федеральным законом «Об акционерных общества» и Уставом к компетенции Общего собрания акционеров.</w:t>
      </w:r>
    </w:p>
    <w:p w:rsidR="00C649E3" w:rsidRPr="00C649E3" w:rsidRDefault="00C649E3" w:rsidP="00C649E3">
      <w:pPr>
        <w:widowControl w:val="0"/>
        <w:tabs>
          <w:tab w:val="left" w:pos="993"/>
        </w:tabs>
        <w:ind w:firstLine="709"/>
        <w:jc w:val="both"/>
        <w:rPr>
          <w:snapToGrid w:val="0"/>
        </w:rPr>
      </w:pPr>
      <w:r w:rsidRPr="00C649E3">
        <w:rPr>
          <w:snapToGrid w:val="0"/>
        </w:rPr>
        <w:t>Перечень вопросов, отнесенных к компетенции Совета директоров, установлен ст. 65  Федерального закона «Об акционерных обществах» и ст. 15 Устава Общества.</w:t>
      </w:r>
    </w:p>
    <w:p w:rsidR="00C649E3" w:rsidRPr="00C649E3" w:rsidRDefault="00C649E3" w:rsidP="00C649E3">
      <w:pPr>
        <w:tabs>
          <w:tab w:val="left" w:pos="720"/>
          <w:tab w:val="left" w:pos="993"/>
        </w:tabs>
        <w:ind w:firstLine="709"/>
        <w:jc w:val="both"/>
        <w:rPr>
          <w:snapToGrid w:val="0"/>
        </w:rPr>
      </w:pPr>
    </w:p>
    <w:p w:rsidR="00C649E3" w:rsidRPr="00C649E3" w:rsidRDefault="00C649E3" w:rsidP="00C649E3">
      <w:pPr>
        <w:tabs>
          <w:tab w:val="num" w:pos="720"/>
          <w:tab w:val="left" w:pos="993"/>
        </w:tabs>
        <w:ind w:firstLine="709"/>
        <w:jc w:val="both"/>
      </w:pPr>
      <w:r w:rsidRPr="00C649E3">
        <w:t>Вопросы, отнесенные к компетенции Совета директоров Общества, не могут быть переданы на решение Генеральному директору Общества.</w:t>
      </w:r>
    </w:p>
    <w:p w:rsidR="00C649E3" w:rsidRPr="00C649E3" w:rsidRDefault="00C649E3" w:rsidP="00C649E3">
      <w:pPr>
        <w:tabs>
          <w:tab w:val="num" w:pos="709"/>
          <w:tab w:val="left" w:pos="993"/>
          <w:tab w:val="left" w:pos="1418"/>
        </w:tabs>
        <w:ind w:firstLine="709"/>
        <w:rPr>
          <w:spacing w:val="-2"/>
        </w:rPr>
      </w:pPr>
    </w:p>
    <w:p w:rsidR="00C649E3" w:rsidRPr="00C649E3" w:rsidRDefault="00C649E3" w:rsidP="00C649E3">
      <w:pPr>
        <w:tabs>
          <w:tab w:val="num" w:pos="709"/>
          <w:tab w:val="left" w:pos="993"/>
          <w:tab w:val="left" w:pos="1418"/>
        </w:tabs>
        <w:ind w:firstLine="709"/>
        <w:jc w:val="both"/>
        <w:rPr>
          <w:spacing w:val="-2"/>
        </w:rPr>
      </w:pPr>
      <w:r w:rsidRPr="00C649E3">
        <w:rPr>
          <w:spacing w:val="-2"/>
        </w:rPr>
        <w:t>В соответствии с Уставом Общества количественный состав Совета директоров Общества составляет 7 (Семь) человек.</w:t>
      </w:r>
    </w:p>
    <w:p w:rsidR="00C649E3" w:rsidRPr="00C649E3" w:rsidRDefault="00C649E3" w:rsidP="00C649E3">
      <w:pPr>
        <w:suppressAutoHyphens/>
        <w:ind w:firstLine="709"/>
        <w:jc w:val="both"/>
        <w:rPr>
          <w:lang w:eastAsia="ar-SA"/>
        </w:rPr>
      </w:pPr>
      <w:r w:rsidRPr="00C649E3">
        <w:rPr>
          <w:lang w:eastAsia="ar-SA"/>
        </w:rPr>
        <w:t>В 2014 году состоялось 18 заседаний Совета директоров Общества (заочная форма проведения) на которых рассмотрено 74 вопроса.</w:t>
      </w:r>
    </w:p>
    <w:p w:rsidR="00C649E3" w:rsidRPr="00C649E3" w:rsidRDefault="00C649E3" w:rsidP="00C649E3">
      <w:pPr>
        <w:suppressAutoHyphens/>
        <w:jc w:val="both"/>
        <w:rPr>
          <w:lang w:eastAsia="ar-SA"/>
        </w:rPr>
      </w:pPr>
    </w:p>
    <w:p w:rsidR="00C649E3" w:rsidRPr="00C649E3" w:rsidRDefault="00C649E3" w:rsidP="00C649E3">
      <w:pPr>
        <w:suppressAutoHyphens/>
        <w:jc w:val="center"/>
        <w:rPr>
          <w:b/>
          <w:lang w:eastAsia="ar-SA"/>
        </w:rPr>
      </w:pPr>
      <w:r w:rsidRPr="00C649E3">
        <w:rPr>
          <w:b/>
          <w:lang w:eastAsia="ar-SA"/>
        </w:rPr>
        <w:t>Информация об участии в заседания</w:t>
      </w:r>
      <w:r>
        <w:rPr>
          <w:b/>
          <w:lang w:eastAsia="ar-SA"/>
        </w:rPr>
        <w:t>х Совета директоров в 2014 году</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94"/>
        <w:gridCol w:w="5562"/>
      </w:tblGrid>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C649E3" w:rsidRPr="00C649E3" w:rsidRDefault="00C649E3" w:rsidP="00C649E3">
            <w:pPr>
              <w:spacing w:line="276" w:lineRule="auto"/>
              <w:jc w:val="center"/>
              <w:rPr>
                <w:rFonts w:eastAsia="Calibri"/>
                <w:b/>
                <w:bCs/>
                <w:lang w:eastAsia="en-US"/>
              </w:rPr>
            </w:pPr>
            <w:r w:rsidRPr="00C649E3">
              <w:rPr>
                <w:rFonts w:eastAsia="Calibri"/>
                <w:b/>
                <w:bCs/>
                <w:lang w:eastAsia="en-US"/>
              </w:rPr>
              <w:t>Фамилия, имя, отчество</w:t>
            </w:r>
          </w:p>
        </w:tc>
        <w:tc>
          <w:tcPr>
            <w:tcW w:w="556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C649E3" w:rsidRPr="00C649E3" w:rsidRDefault="00C649E3" w:rsidP="00C649E3">
            <w:pPr>
              <w:spacing w:line="276" w:lineRule="auto"/>
              <w:jc w:val="center"/>
              <w:rPr>
                <w:rFonts w:eastAsia="Calibri"/>
                <w:b/>
                <w:bCs/>
                <w:lang w:eastAsia="en-US"/>
              </w:rPr>
            </w:pPr>
            <w:r w:rsidRPr="00C649E3">
              <w:rPr>
                <w:rFonts w:eastAsia="Calibri"/>
                <w:b/>
                <w:bCs/>
                <w:lang w:eastAsia="en-US"/>
              </w:rPr>
              <w:t>Количество заседаний с участием члена Совета директоров</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 xml:space="preserve">Сельцовский Петр Андреевич </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0</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Бикмурзин Адель Фяритович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11</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Лисавин Андрей Владимирович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11</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Ейст Александр Валерьевич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9</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lastRenderedPageBreak/>
              <w:t>Раков Алексей Викторович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18</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Саух Максим Михайлович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18</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Аушев Артур Магометович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7</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Кисляков Антон Михайлович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6</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Рень Елена Викторовна</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7</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Саввин Юрий Александрович</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6</w:t>
            </w:r>
          </w:p>
        </w:tc>
      </w:tr>
      <w:tr w:rsidR="00C649E3" w:rsidRPr="00C649E3" w:rsidTr="00C649E3">
        <w:tc>
          <w:tcPr>
            <w:tcW w:w="379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Эристова Ляна Ахмедовна</w:t>
            </w:r>
          </w:p>
        </w:tc>
        <w:tc>
          <w:tcPr>
            <w:tcW w:w="5562"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center"/>
              <w:rPr>
                <w:rFonts w:eastAsia="Calibri"/>
                <w:bCs/>
                <w:lang w:eastAsia="en-US"/>
              </w:rPr>
            </w:pPr>
            <w:r w:rsidRPr="00C649E3">
              <w:rPr>
                <w:rFonts w:eastAsia="Calibri"/>
                <w:bCs/>
                <w:lang w:eastAsia="en-US"/>
              </w:rPr>
              <w:t>6</w:t>
            </w:r>
          </w:p>
        </w:tc>
      </w:tr>
    </w:tbl>
    <w:p w:rsidR="00C649E3" w:rsidRPr="00C649E3" w:rsidRDefault="00C649E3" w:rsidP="00C649E3">
      <w:pPr>
        <w:suppressAutoHyphens/>
        <w:ind w:firstLine="709"/>
        <w:jc w:val="both"/>
        <w:rPr>
          <w:lang w:eastAsia="ar-SA"/>
        </w:rPr>
      </w:pPr>
    </w:p>
    <w:p w:rsidR="00C649E3" w:rsidRPr="00C649E3" w:rsidRDefault="00C649E3" w:rsidP="00C649E3">
      <w:pPr>
        <w:suppressAutoHyphens/>
        <w:ind w:firstLine="709"/>
        <w:jc w:val="both"/>
        <w:rPr>
          <w:b/>
          <w:color w:val="000000"/>
          <w:lang w:eastAsia="ar-SA"/>
        </w:rPr>
      </w:pPr>
      <w:r w:rsidRPr="00C649E3">
        <w:rPr>
          <w:b/>
          <w:lang w:eastAsia="ar-SA"/>
        </w:rPr>
        <w:t xml:space="preserve">Существенные </w:t>
      </w:r>
      <w:r w:rsidRPr="00C649E3">
        <w:rPr>
          <w:b/>
          <w:color w:val="000000"/>
          <w:lang w:eastAsia="ar-SA"/>
        </w:rPr>
        <w:t>вопросы, касающиеся деятельности Общества, рассмотренные на заседаниях Совета директоров в 2014 году:</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утверждена Годовая комплексная программа конкурсных и регламентированных внеконкурсных закупок Общества на 2014 год (решение от 31.01.2014, Протокол от 03.02.2014 №128);</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состав Центрального закупочного органа Общества (решение от 06.02.2014, Протокол от 06.02.2014 №129);</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внутренний документ Общества: Антикоррупционная политика ОАО «Каббалкэнерго»  (решение от 03.04.2014, Протокол от 07.04.2014 № 132);</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План перспективного развития ОАО «Каббалкэнерго» на 2014-2022гг.</w:t>
      </w:r>
      <w:r w:rsidRPr="00C649E3">
        <w:t xml:space="preserve"> </w:t>
      </w:r>
      <w:r w:rsidRPr="00C649E3">
        <w:rPr>
          <w:color w:val="000000"/>
          <w:lang w:eastAsia="ar-SA"/>
        </w:rPr>
        <w:t>(решение от 03.04.2014, Протокол от 07.04.2014 № 132);</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утверждена организационная структура исполнительного аппарата Общества</w:t>
      </w:r>
      <w:r w:rsidRPr="00C649E3">
        <w:t xml:space="preserve"> </w:t>
      </w:r>
      <w:r w:rsidRPr="00C649E3">
        <w:rPr>
          <w:color w:val="000000"/>
          <w:lang w:eastAsia="ar-SA"/>
        </w:rPr>
        <w:t xml:space="preserve">(решение от 19.06.2014, Протокол от 20.06.2014 № 138); </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внутренний документ Общества - Регламент размещения временно свободных денежных средств Общества (решение от 19.06.2014, Протокол от 20.06.2014 № 138);</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порядок расчета лимитов стоимостных параметров заимствования (решение от 06.08.2014, Протокол от 08.08.2014 №140);</w:t>
      </w:r>
    </w:p>
    <w:p w:rsidR="00C649E3" w:rsidRPr="00C649E3" w:rsidRDefault="00C649E3" w:rsidP="00C649E3">
      <w:pPr>
        <w:suppressAutoHyphens/>
        <w:ind w:firstLine="709"/>
        <w:jc w:val="both"/>
        <w:rPr>
          <w:color w:val="000000"/>
          <w:lang w:eastAsia="ar-SA"/>
        </w:rPr>
      </w:pPr>
      <w:r w:rsidRPr="00C649E3">
        <w:rPr>
          <w:color w:val="000000"/>
          <w:lang w:eastAsia="ar-SA"/>
        </w:rPr>
        <w:t>-</w:t>
      </w:r>
      <w:r w:rsidRPr="00C649E3">
        <w:t xml:space="preserve"> </w:t>
      </w:r>
      <w:r w:rsidRPr="00C649E3">
        <w:rPr>
          <w:color w:val="000000"/>
          <w:lang w:eastAsia="ar-SA"/>
        </w:rPr>
        <w:t>определены случаи (размеры) сделок с имуществом ОАО «Каббалкэнерго», подлежащих предварительному одобрению Советом директоров (решение от 10.09.2014, Протокол от 12.09.2014 № 141) .</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внутренний документ Общества: Политика внутреннего контроля ОАО «Каббалкэнерго» (решение от 02.10.2014, Протокол от 03.10.2014 № 142);</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внутренний документ Общества: Политика внутреннего аудита ОАО «Каббалкэнерго» (решение от 02.10.2014, Протокол от 03.10.2014 № 142);</w:t>
      </w:r>
    </w:p>
    <w:p w:rsidR="00C649E3" w:rsidRPr="00C649E3" w:rsidRDefault="00C649E3" w:rsidP="00C649E3">
      <w:pPr>
        <w:suppressAutoHyphens/>
        <w:ind w:firstLine="709"/>
        <w:jc w:val="both"/>
        <w:rPr>
          <w:color w:val="000000"/>
          <w:lang w:eastAsia="ar-SA"/>
        </w:rPr>
      </w:pPr>
      <w:r w:rsidRPr="00C649E3">
        <w:rPr>
          <w:color w:val="000000"/>
          <w:lang w:eastAsia="ar-SA"/>
        </w:rPr>
        <w:t>- утвержден бизнес-план Общества, включающий инвестиционную программу,  на 2015 год и прогноза на  2016-2019 гг.</w:t>
      </w:r>
      <w:r w:rsidRPr="00C649E3">
        <w:t xml:space="preserve"> </w:t>
      </w:r>
      <w:r w:rsidRPr="00C649E3">
        <w:rPr>
          <w:color w:val="000000"/>
          <w:lang w:eastAsia="ar-SA"/>
        </w:rPr>
        <w:t>(решение от 30.12.2014, Протокол от 13.01.2015 № 145);</w:t>
      </w:r>
    </w:p>
    <w:p w:rsidR="00C649E3" w:rsidRPr="00C649E3" w:rsidRDefault="00C649E3" w:rsidP="00C649E3">
      <w:pPr>
        <w:suppressAutoHyphens/>
        <w:ind w:firstLine="709"/>
        <w:jc w:val="both"/>
        <w:rPr>
          <w:lang w:eastAsia="ar-SA"/>
        </w:rPr>
      </w:pPr>
      <w:r w:rsidRPr="00C649E3">
        <w:rPr>
          <w:color w:val="000000"/>
          <w:lang w:eastAsia="ar-SA"/>
        </w:rPr>
        <w:t>- утвержден внутренний документ Общества: Антикоррупционная политика ОАО «Россети» и ДЗО ОАО «Россети»  (решение от 30.12.2014, Протокол от 13.01.2015 № 145)</w:t>
      </w:r>
      <w:r w:rsidRPr="00C649E3">
        <w:rPr>
          <w:lang w:eastAsia="ar-SA"/>
        </w:rPr>
        <w:t>.</w:t>
      </w:r>
    </w:p>
    <w:p w:rsidR="00C649E3" w:rsidRPr="00C649E3" w:rsidRDefault="00C649E3" w:rsidP="00C649E3">
      <w:pPr>
        <w:suppressAutoHyphens/>
        <w:ind w:firstLine="709"/>
        <w:jc w:val="both"/>
        <w:rPr>
          <w:lang w:eastAsia="ar-SA"/>
        </w:rPr>
      </w:pPr>
      <w:r w:rsidRPr="00C649E3">
        <w:rPr>
          <w:lang w:eastAsia="ar-SA"/>
        </w:rPr>
        <w:t>Подробная информация о решениях, принятых Советом директоров                    ОАО «Каббалкэнерго» в 2014 году, размещена на сайте Общества по адресу:</w:t>
      </w:r>
      <w:r w:rsidRPr="00C649E3">
        <w:t xml:space="preserve">                    </w:t>
      </w:r>
      <w:r w:rsidRPr="00C649E3">
        <w:rPr>
          <w:color w:val="0000FF"/>
          <w:u w:val="single"/>
        </w:rPr>
        <w:t>http://kabbalkenergo.ru</w:t>
      </w:r>
      <w:r w:rsidRPr="00C649E3">
        <w:t>.</w:t>
      </w:r>
    </w:p>
    <w:p w:rsidR="00C649E3" w:rsidRPr="00C649E3" w:rsidRDefault="00C649E3" w:rsidP="00C649E3">
      <w:pPr>
        <w:widowControl w:val="0"/>
        <w:tabs>
          <w:tab w:val="left" w:pos="720"/>
          <w:tab w:val="left" w:pos="993"/>
          <w:tab w:val="num" w:pos="2265"/>
        </w:tabs>
        <w:ind w:firstLine="709"/>
        <w:jc w:val="both"/>
        <w:rPr>
          <w:snapToGrid w:val="0"/>
        </w:rPr>
      </w:pPr>
      <w:r w:rsidRPr="00C649E3">
        <w:rPr>
          <w:snapToGrid w:val="0"/>
        </w:rPr>
        <w:t>В 2014г. действовало два состава Совета директоров.</w:t>
      </w:r>
    </w:p>
    <w:p w:rsidR="00C649E3" w:rsidRPr="00C649E3" w:rsidRDefault="00C649E3" w:rsidP="00C649E3">
      <w:pPr>
        <w:widowControl w:val="0"/>
        <w:tabs>
          <w:tab w:val="left" w:pos="1134"/>
          <w:tab w:val="num" w:pos="2265"/>
        </w:tabs>
        <w:spacing w:before="100" w:beforeAutospacing="1"/>
        <w:jc w:val="both"/>
        <w:rPr>
          <w:b/>
          <w:snapToGrid w:val="0"/>
        </w:rPr>
      </w:pPr>
      <w:r w:rsidRPr="00C649E3">
        <w:rPr>
          <w:b/>
          <w:snapToGrid w:val="0"/>
        </w:rPr>
        <w:t>Персональный состав Совета директоров, избранный внеочередным Общим собранием акционеров 01.10.2013 (Протокол от 04.10.2013 № 41)</w:t>
      </w:r>
      <w:r w:rsidRPr="00C649E3">
        <w:rPr>
          <w:b/>
          <w:snapToGrid w:val="0"/>
          <w:vertAlign w:val="superscript"/>
        </w:rPr>
        <w:footnoteReference w:id="2"/>
      </w:r>
      <w:r w:rsidRPr="00C649E3">
        <w:rPr>
          <w:b/>
          <w:snapToGrid w:val="0"/>
        </w:rPr>
        <w:t>:</w:t>
      </w:r>
    </w:p>
    <w:tbl>
      <w:tblPr>
        <w:tblStyle w:val="51"/>
        <w:tblW w:w="0" w:type="auto"/>
        <w:tblLook w:val="04A0" w:firstRow="1" w:lastRow="0" w:firstColumn="1" w:lastColumn="0" w:noHBand="0" w:noVBand="1"/>
      </w:tblPr>
      <w:tblGrid>
        <w:gridCol w:w="675"/>
        <w:gridCol w:w="3969"/>
        <w:gridCol w:w="4820"/>
      </w:tblGrid>
      <w:tr w:rsidR="00C649E3" w:rsidRPr="00C649E3" w:rsidTr="00C649E3">
        <w:tc>
          <w:tcPr>
            <w:tcW w:w="675"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center"/>
              <w:rPr>
                <w:b/>
                <w:bCs/>
                <w:iCs/>
                <w:lang w:eastAsia="en-US"/>
              </w:rPr>
            </w:pPr>
            <w:r w:rsidRPr="00C649E3">
              <w:rPr>
                <w:b/>
                <w:bCs/>
                <w:iCs/>
                <w:lang w:eastAsia="en-US"/>
              </w:rPr>
              <w:t>ФИО</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center"/>
              <w:rPr>
                <w:b/>
                <w:snapToGrid w:val="0"/>
                <w:lang w:eastAsia="en-US"/>
              </w:rPr>
            </w:pPr>
            <w:r w:rsidRPr="00C649E3">
              <w:rPr>
                <w:b/>
                <w:snapToGrid w:val="0"/>
                <w:lang w:eastAsia="en-US"/>
              </w:rPr>
              <w:t>Должность на момент выдвижения</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1</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bCs/>
                <w:iCs/>
                <w:lang w:eastAsia="en-US"/>
              </w:rPr>
              <w:t>Сельцовский Петр Андреевич (</w:t>
            </w:r>
            <w:r w:rsidRPr="00C649E3">
              <w:rPr>
                <w:bCs/>
                <w:lang w:eastAsia="en-US"/>
              </w:rPr>
              <w:t xml:space="preserve">Председатель Совета директоров </w:t>
            </w:r>
            <w:r w:rsidRPr="00C649E3">
              <w:rPr>
                <w:bCs/>
                <w:lang w:eastAsia="en-US"/>
              </w:rPr>
              <w:lastRenderedPageBreak/>
              <w:t>до 07.02.2014</w:t>
            </w:r>
            <w:r w:rsidRPr="00C649E3">
              <w:rPr>
                <w:bCs/>
                <w:iCs/>
                <w:lang w:eastAsia="en-US"/>
              </w:rPr>
              <w:t>)</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lastRenderedPageBreak/>
              <w:t>Генеральный директор ОАО «МРСК Северного Кавказа»</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lastRenderedPageBreak/>
              <w:t>2</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bCs/>
                <w:iCs/>
                <w:lang w:eastAsia="en-US"/>
              </w:rPr>
              <w:t>Раков Алексей Викторович (</w:t>
            </w:r>
            <w:r w:rsidRPr="00C649E3">
              <w:rPr>
                <w:bCs/>
                <w:lang w:eastAsia="en-US"/>
              </w:rPr>
              <w:t>заместитель Председателя Совета директоров, с 07.02.2014 -  Председатель Совета директоров</w:t>
            </w:r>
            <w:r w:rsidRPr="00C649E3">
              <w:rPr>
                <w:bCs/>
                <w:iCs/>
                <w:lang w:eastAsia="en-US"/>
              </w:rPr>
              <w:t>)</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Директор Департамента энергосбытовой деятельности и взаимодействия с субъектами ОРЭ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3</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284"/>
              </w:tabs>
              <w:jc w:val="both"/>
              <w:rPr>
                <w:bCs/>
                <w:iCs/>
                <w:lang w:eastAsia="en-US"/>
              </w:rPr>
            </w:pPr>
            <w:r w:rsidRPr="00C649E3">
              <w:rPr>
                <w:bCs/>
                <w:iCs/>
                <w:lang w:eastAsia="en-US"/>
              </w:rPr>
              <w:t>Саух Максим Михайлович</w:t>
            </w:r>
            <w:r w:rsidRPr="00C649E3">
              <w:rPr>
                <w:bCs/>
                <w:lang w:eastAsia="en-US"/>
              </w:rPr>
              <w:t xml:space="preserve"> (заместитель Председателя Совета директоров с 07.02.2014)</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Начальник управления корпоративных отношений Департамента корпоративного управления и взаимодействия с акционерами и инвесторами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4</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284"/>
              </w:tabs>
              <w:jc w:val="both"/>
              <w:rPr>
                <w:bCs/>
                <w:iCs/>
                <w:lang w:eastAsia="en-US"/>
              </w:rPr>
            </w:pPr>
            <w:r w:rsidRPr="00C649E3">
              <w:rPr>
                <w:bCs/>
                <w:iCs/>
                <w:lang w:eastAsia="en-US"/>
              </w:rPr>
              <w:t>Саввин  Юрий Александрович</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Заместитель начальника управления экономики ДЗО Департамента экономического планирования и бюджетирования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5</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284"/>
              </w:tabs>
              <w:jc w:val="both"/>
              <w:rPr>
                <w:bCs/>
                <w:iCs/>
                <w:lang w:eastAsia="en-US"/>
              </w:rPr>
            </w:pPr>
            <w:r w:rsidRPr="00C649E3">
              <w:rPr>
                <w:bCs/>
                <w:iCs/>
                <w:lang w:eastAsia="en-US"/>
              </w:rPr>
              <w:t>Бикмурзин Адель Фяритович</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Главный эксперт отдела стандартов и методологии управления корпоративных отношений Департамента корпоративного управления и взаимодействия с акционерами и инвесторами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6</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284"/>
              </w:tabs>
              <w:jc w:val="both"/>
              <w:rPr>
                <w:bCs/>
                <w:iCs/>
                <w:lang w:eastAsia="en-US"/>
              </w:rPr>
            </w:pPr>
            <w:r w:rsidRPr="00C649E3">
              <w:rPr>
                <w:bCs/>
                <w:iCs/>
                <w:lang w:eastAsia="en-US"/>
              </w:rPr>
              <w:t>Лисавин Андрей Владимирович</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Начальник управления реализации стратегии Департамента стратегического развития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7</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284"/>
              </w:tabs>
              <w:jc w:val="both"/>
              <w:rPr>
                <w:bCs/>
                <w:iCs/>
                <w:lang w:eastAsia="en-US"/>
              </w:rPr>
            </w:pPr>
            <w:r w:rsidRPr="00C649E3">
              <w:rPr>
                <w:bCs/>
                <w:iCs/>
                <w:lang w:eastAsia="en-US"/>
              </w:rPr>
              <w:t>Ейст Александр Валерьевич</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both"/>
              <w:rPr>
                <w:b/>
                <w:snapToGrid w:val="0"/>
                <w:lang w:eastAsia="en-US"/>
              </w:rPr>
            </w:pPr>
            <w:r w:rsidRPr="00C649E3">
              <w:rPr>
                <w:lang w:eastAsia="en-US"/>
              </w:rPr>
              <w:t>Генеральный директор                                 ОАО «Каббалкэнерго»</w:t>
            </w:r>
          </w:p>
        </w:tc>
      </w:tr>
    </w:tbl>
    <w:p w:rsidR="00C82396" w:rsidRDefault="00C82396" w:rsidP="00C82396">
      <w:pPr>
        <w:widowControl w:val="0"/>
        <w:tabs>
          <w:tab w:val="left" w:pos="1134"/>
          <w:tab w:val="num" w:pos="2265"/>
        </w:tabs>
        <w:jc w:val="both"/>
        <w:rPr>
          <w:b/>
          <w:snapToGrid w:val="0"/>
        </w:rPr>
      </w:pPr>
    </w:p>
    <w:p w:rsidR="00C82396" w:rsidRDefault="00C82396" w:rsidP="00C82396">
      <w:pPr>
        <w:widowControl w:val="0"/>
        <w:tabs>
          <w:tab w:val="left" w:pos="1134"/>
          <w:tab w:val="num" w:pos="2265"/>
        </w:tabs>
        <w:jc w:val="both"/>
        <w:rPr>
          <w:b/>
          <w:snapToGrid w:val="0"/>
        </w:rPr>
      </w:pPr>
    </w:p>
    <w:p w:rsidR="00C649E3" w:rsidRPr="00C649E3" w:rsidRDefault="00C649E3" w:rsidP="00C82396">
      <w:pPr>
        <w:widowControl w:val="0"/>
        <w:tabs>
          <w:tab w:val="left" w:pos="1134"/>
          <w:tab w:val="num" w:pos="2265"/>
        </w:tabs>
        <w:jc w:val="both"/>
        <w:rPr>
          <w:b/>
          <w:snapToGrid w:val="0"/>
        </w:rPr>
      </w:pPr>
      <w:r w:rsidRPr="00C649E3">
        <w:rPr>
          <w:b/>
          <w:snapToGrid w:val="0"/>
        </w:rPr>
        <w:t xml:space="preserve">Персональный состав Совета директоров, избранный </w:t>
      </w:r>
      <w:r w:rsidR="006A02D5">
        <w:rPr>
          <w:b/>
          <w:snapToGrid w:val="0"/>
        </w:rPr>
        <w:t>годовым</w:t>
      </w:r>
      <w:r w:rsidRPr="00C649E3">
        <w:rPr>
          <w:b/>
          <w:snapToGrid w:val="0"/>
        </w:rPr>
        <w:t xml:space="preserve"> Общим собранием акционеров 26.06.2014 (Протокол от 01.07.2014 № 42):</w:t>
      </w:r>
    </w:p>
    <w:tbl>
      <w:tblPr>
        <w:tblStyle w:val="51"/>
        <w:tblW w:w="0" w:type="auto"/>
        <w:tblLook w:val="04A0" w:firstRow="1" w:lastRow="0" w:firstColumn="1" w:lastColumn="0" w:noHBand="0" w:noVBand="1"/>
      </w:tblPr>
      <w:tblGrid>
        <w:gridCol w:w="675"/>
        <w:gridCol w:w="3969"/>
        <w:gridCol w:w="4820"/>
      </w:tblGrid>
      <w:tr w:rsidR="00C649E3" w:rsidRPr="00C649E3" w:rsidTr="00C649E3">
        <w:tc>
          <w:tcPr>
            <w:tcW w:w="675"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center"/>
              <w:rPr>
                <w:b/>
                <w:bCs/>
                <w:iCs/>
                <w:lang w:eastAsia="en-US"/>
              </w:rPr>
            </w:pPr>
            <w:r w:rsidRPr="00C649E3">
              <w:rPr>
                <w:b/>
                <w:bCs/>
                <w:iCs/>
                <w:lang w:eastAsia="en-US"/>
              </w:rPr>
              <w:t>ФИО</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widowControl w:val="0"/>
              <w:tabs>
                <w:tab w:val="left" w:pos="1134"/>
                <w:tab w:val="num" w:pos="2265"/>
              </w:tabs>
              <w:spacing w:before="100" w:beforeAutospacing="1" w:after="100" w:afterAutospacing="1"/>
              <w:jc w:val="center"/>
              <w:rPr>
                <w:b/>
                <w:snapToGrid w:val="0"/>
                <w:lang w:eastAsia="en-US"/>
              </w:rPr>
            </w:pPr>
            <w:r w:rsidRPr="00C649E3">
              <w:rPr>
                <w:b/>
                <w:snapToGrid w:val="0"/>
                <w:lang w:eastAsia="en-US"/>
              </w:rPr>
              <w:t>Должность на момент выдвижения</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1</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Раков Алексей Викторович</w:t>
            </w:r>
          </w:p>
          <w:p w:rsidR="00C649E3" w:rsidRPr="00C649E3" w:rsidRDefault="00C649E3" w:rsidP="00C649E3">
            <w:pPr>
              <w:rPr>
                <w:lang w:eastAsia="en-US"/>
              </w:rPr>
            </w:pPr>
            <w:r w:rsidRPr="00C649E3">
              <w:rPr>
                <w:bCs/>
                <w:iCs/>
                <w:lang w:eastAsia="en-US"/>
              </w:rPr>
              <w:t>(</w:t>
            </w:r>
            <w:r w:rsidRPr="00C649E3">
              <w:rPr>
                <w:bCs/>
                <w:lang w:eastAsia="en-US"/>
              </w:rPr>
              <w:t>Председатель Совета директоров Общества</w:t>
            </w:r>
            <w:r w:rsidRPr="00C649E3">
              <w:rPr>
                <w:bCs/>
                <w:iCs/>
                <w:lang w:eastAsia="en-US"/>
              </w:rPr>
              <w:t>)</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Директор Департамента энергосбытовой деятельности и взаимодействия с субъектами ОРЭ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2</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Саух Максим Михайлович</w:t>
            </w:r>
          </w:p>
          <w:p w:rsidR="00C649E3" w:rsidRPr="00C649E3" w:rsidRDefault="00C649E3" w:rsidP="00C649E3">
            <w:pPr>
              <w:rPr>
                <w:lang w:eastAsia="en-US"/>
              </w:rPr>
            </w:pPr>
            <w:r w:rsidRPr="00C649E3">
              <w:rPr>
                <w:bCs/>
                <w:iCs/>
                <w:lang w:eastAsia="en-US"/>
              </w:rPr>
              <w:t>(</w:t>
            </w:r>
            <w:r w:rsidRPr="00C649E3">
              <w:rPr>
                <w:bCs/>
                <w:lang w:eastAsia="en-US"/>
              </w:rPr>
              <w:t>Заместитель Председателя Совета директоров Общества</w:t>
            </w:r>
            <w:r w:rsidRPr="00C649E3">
              <w:rPr>
                <w:bCs/>
                <w:iCs/>
                <w:lang w:eastAsia="en-US"/>
              </w:rPr>
              <w:t>)</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Начальник Управления корпоративных отношений Департамента корпоративного управления и взаимодействия с акционерами и инвесторами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3</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Аушев Артур Магометович</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Генеральный директор</w:t>
            </w:r>
          </w:p>
          <w:p w:rsidR="00C649E3" w:rsidRPr="00C649E3" w:rsidRDefault="00C649E3" w:rsidP="00C649E3">
            <w:pPr>
              <w:rPr>
                <w:lang w:eastAsia="en-US"/>
              </w:rPr>
            </w:pPr>
            <w:r w:rsidRPr="00C649E3">
              <w:rPr>
                <w:lang w:eastAsia="en-US"/>
              </w:rPr>
              <w:t xml:space="preserve"> ОАО «Каббалкэнерго»</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4</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Кисляков Антон Михайлович</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Начальник управления обеспечения текущей деятельности Юридического департамента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5</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Рень Елена Викторовна</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Ведущий эксперт отдела обеспечения прав акционеров Управления акционерного капитала Департамента корпоративного управления и взаимодействия с акционерами и инвесторами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6</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Саввин Юрий Александрович</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lang w:eastAsia="en-US"/>
              </w:rPr>
            </w:pPr>
            <w:r w:rsidRPr="00C649E3">
              <w:rPr>
                <w:lang w:eastAsia="en-US"/>
              </w:rPr>
              <w:t>Заместитель начальника управления экономики ДЗО Департамента экономического планирования и бюджетирования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widowControl w:val="0"/>
              <w:tabs>
                <w:tab w:val="left" w:pos="1134"/>
                <w:tab w:val="num" w:pos="2265"/>
              </w:tabs>
              <w:spacing w:before="100" w:beforeAutospacing="1" w:after="100" w:afterAutospacing="1"/>
              <w:jc w:val="center"/>
              <w:rPr>
                <w:snapToGrid w:val="0"/>
                <w:lang w:eastAsia="en-US"/>
              </w:rPr>
            </w:pPr>
            <w:r w:rsidRPr="00C649E3">
              <w:rPr>
                <w:snapToGrid w:val="0"/>
                <w:lang w:eastAsia="en-US"/>
              </w:rPr>
              <w:t>7</w:t>
            </w:r>
          </w:p>
        </w:tc>
        <w:tc>
          <w:tcPr>
            <w:tcW w:w="396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ind w:right="-68"/>
              <w:rPr>
                <w:lang w:eastAsia="en-US"/>
              </w:rPr>
            </w:pPr>
            <w:r w:rsidRPr="00C649E3">
              <w:rPr>
                <w:lang w:eastAsia="en-US"/>
              </w:rPr>
              <w:t>Эристова Ляна Ахмедовна</w:t>
            </w:r>
          </w:p>
        </w:tc>
        <w:tc>
          <w:tcPr>
            <w:tcW w:w="4820"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ind w:right="-68"/>
              <w:rPr>
                <w:lang w:eastAsia="en-US"/>
              </w:rPr>
            </w:pPr>
            <w:r w:rsidRPr="00C649E3">
              <w:rPr>
                <w:lang w:eastAsia="en-US"/>
              </w:rPr>
              <w:t xml:space="preserve">Начальник управления и распоряжения </w:t>
            </w:r>
            <w:r w:rsidRPr="00C649E3">
              <w:rPr>
                <w:lang w:eastAsia="en-US"/>
              </w:rPr>
              <w:lastRenderedPageBreak/>
              <w:t>государственной собственностью ТУ Росимущества в Кабардино-Балкарской Республике</w:t>
            </w:r>
          </w:p>
        </w:tc>
      </w:tr>
    </w:tbl>
    <w:p w:rsidR="00C649E3" w:rsidRPr="00C649E3" w:rsidRDefault="00C649E3" w:rsidP="00C649E3">
      <w:pPr>
        <w:jc w:val="both"/>
        <w:rPr>
          <w:b/>
          <w:b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
                <w:bCs/>
                <w:iCs/>
                <w:lang w:eastAsia="en-US"/>
              </w:rPr>
            </w:pPr>
            <w:r w:rsidRPr="00C649E3">
              <w:rPr>
                <w:b/>
                <w:bCs/>
                <w:iCs/>
                <w:lang w:eastAsia="en-US"/>
              </w:rPr>
              <w:t>Раков Алексей Викторович</w:t>
            </w:r>
          </w:p>
          <w:p w:rsidR="00C649E3" w:rsidRPr="00C649E3" w:rsidRDefault="00C649E3" w:rsidP="00C649E3">
            <w:pPr>
              <w:jc w:val="both"/>
              <w:rPr>
                <w:bCs/>
                <w:iCs/>
                <w:lang w:eastAsia="en-US"/>
              </w:rPr>
            </w:pPr>
            <w:r w:rsidRPr="00C649E3">
              <w:rPr>
                <w:bCs/>
                <w:iCs/>
                <w:lang w:eastAsia="en-US"/>
              </w:rPr>
              <w:t>(</w:t>
            </w:r>
            <w:r w:rsidRPr="00C649E3">
              <w:rPr>
                <w:bCs/>
                <w:lang w:eastAsia="en-US"/>
              </w:rPr>
              <w:t>Председатель Совета директоров Общества)</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bCs/>
                <w:iCs/>
                <w:lang w:eastAsia="en-US"/>
              </w:rPr>
              <w:t>1975</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iCs/>
                <w:lang w:eastAsia="en-US"/>
              </w:rPr>
              <w:t xml:space="preserve">Высшее: </w:t>
            </w:r>
            <w:r w:rsidRPr="00C649E3">
              <w:rPr>
                <w:lang w:eastAsia="en-US"/>
              </w:rPr>
              <w:t>Пензенский Государственный Технический Университет, программное обеспечение  вычислительной техники и автоматизированных систем;</w:t>
            </w:r>
          </w:p>
          <w:p w:rsidR="00C649E3" w:rsidRPr="00C649E3" w:rsidRDefault="00C649E3" w:rsidP="00C649E3">
            <w:pPr>
              <w:jc w:val="both"/>
              <w:rPr>
                <w:lang w:eastAsia="en-US"/>
              </w:rPr>
            </w:pPr>
            <w:r w:rsidRPr="00C649E3">
              <w:rPr>
                <w:lang w:eastAsia="en-US"/>
              </w:rPr>
              <w:t xml:space="preserve">Пензенский Учебный Центр, бухгалтер промышленных предприятий; Пензенский Государственный Технический Университет, электроэнергетические системы и сети; </w:t>
            </w:r>
          </w:p>
          <w:p w:rsidR="00C649E3" w:rsidRPr="00C649E3" w:rsidRDefault="00C649E3" w:rsidP="00C649E3">
            <w:pPr>
              <w:jc w:val="both"/>
              <w:rPr>
                <w:bCs/>
                <w:iCs/>
                <w:lang w:eastAsia="en-US"/>
              </w:rPr>
            </w:pPr>
            <w:r w:rsidRPr="00C649E3">
              <w:rPr>
                <w:lang w:eastAsia="en-US"/>
              </w:rPr>
              <w:t>Финансовая академия при Правительстве РФ, финансы и кредит.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lang w:eastAsia="en-US"/>
              </w:rPr>
              <w:t>2009 - 2011</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Главный специалист ЗАО «Комплексные энергетические системы»</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2011-2013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Заместитель начальника Департамента транспорта электроэнергии                 ОАО «МРСК Центра»</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в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Директор Департамента реализации электросетевых услуг и взаимодействия с субъектами рынков электроэнергии ОАО «Россети»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lang w:eastAsia="en-US"/>
              </w:rPr>
              <w:t>с 2013 г.</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ОАО «МРСК Северного Кавказа», член Комитета по стратегии и развитию при Совете директоров;</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lang w:eastAsia="en-US"/>
              </w:rPr>
              <w:t>с 2014 г.</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«МРСК Сибири», ОАО «МРСК Юга» - член Комитета Совета директоров по стратегии, развитию, инвестициям  и реформированию;</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lang w:eastAsia="en-US"/>
              </w:rPr>
              <w:t>с 2014 г</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«Ингушэнерго», ОАО «Калмэнергосбыт», ОАО «Тываэнергосбыт» - Председатель Совета директоров.</w:t>
            </w:r>
          </w:p>
        </w:tc>
      </w:tr>
    </w:tbl>
    <w:p w:rsidR="00C649E3" w:rsidRPr="00C649E3" w:rsidRDefault="00C649E3" w:rsidP="00C649E3">
      <w:pPr>
        <w:jc w:val="both"/>
        <w:rPr>
          <w:b/>
          <w:bCs/>
          <w:iCs/>
        </w:rPr>
      </w:pPr>
    </w:p>
    <w:p w:rsidR="00C649E3" w:rsidRPr="00C649E3" w:rsidRDefault="00C649E3" w:rsidP="00C649E3">
      <w:pPr>
        <w:jc w:val="both"/>
        <w:rPr>
          <w:b/>
          <w:bCs/>
          <w:i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
                <w:bCs/>
                <w:iCs/>
                <w:lang w:eastAsia="en-US"/>
              </w:rPr>
            </w:pPr>
            <w:r w:rsidRPr="00C649E3">
              <w:rPr>
                <w:b/>
                <w:bCs/>
                <w:iCs/>
                <w:lang w:eastAsia="en-US"/>
              </w:rPr>
              <w:t xml:space="preserve">Саух Максим Михайлович </w:t>
            </w:r>
          </w:p>
          <w:p w:rsidR="00C649E3" w:rsidRPr="00C649E3" w:rsidRDefault="00C649E3" w:rsidP="00C649E3">
            <w:pPr>
              <w:jc w:val="both"/>
              <w:rPr>
                <w:bCs/>
                <w:iCs/>
                <w:lang w:eastAsia="en-US"/>
              </w:rPr>
            </w:pPr>
            <w:r w:rsidRPr="00C649E3">
              <w:rPr>
                <w:bCs/>
                <w:iCs/>
                <w:lang w:eastAsia="en-US"/>
              </w:rPr>
              <w:t>(</w:t>
            </w:r>
            <w:r w:rsidRPr="00C649E3">
              <w:rPr>
                <w:bCs/>
                <w:lang w:eastAsia="en-US"/>
              </w:rPr>
              <w:t>Заместитель Председателя Совета директоров Общества)</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bCs/>
                <w:iCs/>
                <w:lang w:eastAsia="en-US"/>
              </w:rPr>
              <w:t>1979</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 xml:space="preserve">Высшее: </w:t>
            </w:r>
            <w:r w:rsidRPr="00C649E3">
              <w:rPr>
                <w:iCs/>
                <w:lang w:eastAsia="en-US"/>
              </w:rPr>
              <w:t>Санкт-Петербургский Гуманитарный Университет Профсоюзов, юрист.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lang w:eastAsia="en-US"/>
              </w:rPr>
              <w:t>2008 - 2011</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заместитель начальника Департамента корпоративного управления и взаимодействия с акционерами ОАО «Холдинг МРСК»</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2011-2012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iCs/>
                <w:lang w:eastAsia="en-US"/>
              </w:rPr>
              <w:t>первый заместитель начальника Департамента корпоративного управления и взаимодействия с акционерами ОАО «Холдинг МРСК»</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2012-2013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iCs/>
                <w:lang w:eastAsia="en-US"/>
              </w:rPr>
              <w:t xml:space="preserve">начальник Департамента корпоративного управления и взаимодействия с акционерами ОАО «Холдинг МРСК» </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с 2013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Начальник Управления корпоративных отношений Департамента корпоративного управления и взаимодействия с акционерами и инвесторами ОАО «Россети»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 xml:space="preserve">Организации, в которых член Совета директоров Общества входит в органы </w:t>
            </w:r>
            <w:r w:rsidRPr="00C649E3">
              <w:rPr>
                <w:b/>
                <w:bCs/>
                <w:iCs/>
                <w:lang w:eastAsia="en-US"/>
              </w:rPr>
              <w:lastRenderedPageBreak/>
              <w:t>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hideMark/>
          </w:tcPr>
          <w:p w:rsidR="00C649E3" w:rsidRPr="00C649E3" w:rsidRDefault="00C649E3" w:rsidP="00C649E3">
            <w:pPr>
              <w:jc w:val="center"/>
              <w:rPr>
                <w:b/>
                <w:bCs/>
                <w:iCs/>
                <w:lang w:eastAsia="en-US"/>
              </w:rPr>
            </w:pPr>
            <w:r w:rsidRPr="00C649E3">
              <w:rPr>
                <w:b/>
                <w:bCs/>
                <w:iCs/>
                <w:lang w:eastAsia="en-US"/>
              </w:rPr>
              <w:lastRenderedPageBreak/>
              <w:t>В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ОАО «ЭНИН», ОАО «Псковэнергосбыт»,ОАО «Екатеринбургская электросетевая компания», ЗАО «Свет», ЗАО «Курортэнерго», ОАО «СЗЭУК», ОАО «Калининградская генерирующая компания», ОАО «Энергосервисная компания Тюменьэнерго», ОАО «АйТи Энерджи Сервис», ОАО «МРСК Центра», ОАО «ТРК», ОАО «НИЦ Сибири» - член Совета директоров</w:t>
            </w:r>
          </w:p>
        </w:tc>
      </w:tr>
    </w:tbl>
    <w:p w:rsidR="00C649E3" w:rsidRPr="00C649E3" w:rsidRDefault="00C649E3" w:rsidP="00C649E3">
      <w:pPr>
        <w:jc w:val="both"/>
        <w:rPr>
          <w:b/>
          <w:bCs/>
          <w:iCs/>
        </w:rPr>
      </w:pPr>
    </w:p>
    <w:p w:rsidR="00C649E3" w:rsidRPr="00C649E3" w:rsidRDefault="00C649E3" w:rsidP="00C649E3">
      <w:pPr>
        <w:jc w:val="both"/>
        <w:rPr>
          <w:b/>
          <w:bCs/>
          <w:i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lang w:eastAsia="en-US"/>
              </w:rPr>
              <w:t>Аушев Артур Магометович</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1977</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 xml:space="preserve">Высшее:  Сочинский Государственный университет Курортного дела и туризма, менеджмент; </w:t>
            </w:r>
          </w:p>
          <w:p w:rsidR="00C649E3" w:rsidRPr="00C649E3" w:rsidRDefault="00C649E3" w:rsidP="00C649E3">
            <w:pPr>
              <w:jc w:val="both"/>
              <w:rPr>
                <w:bCs/>
                <w:iCs/>
                <w:lang w:eastAsia="en-US"/>
              </w:rPr>
            </w:pPr>
            <w:r w:rsidRPr="00C649E3">
              <w:rPr>
                <w:lang w:eastAsia="en-US"/>
              </w:rPr>
              <w:t>Государственный университет управления, менеджмент, экономика и управление в энергетике.</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2869A0">
            <w:pPr>
              <w:jc w:val="both"/>
              <w:rPr>
                <w:bCs/>
                <w:iCs/>
                <w:lang w:eastAsia="en-US"/>
              </w:rPr>
            </w:pPr>
            <w:r w:rsidRPr="00C649E3">
              <w:rPr>
                <w:b/>
                <w:bCs/>
                <w:lang w:eastAsia="en-US"/>
              </w:rPr>
              <w:t>2009-2011</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Первый заместитель генерального директора ОАО «Энергосбытовая компания Московской области», г. Москва</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2869A0">
            <w:pPr>
              <w:jc w:val="both"/>
              <w:rPr>
                <w:b/>
                <w:bCs/>
                <w:lang w:eastAsia="en-US"/>
              </w:rPr>
            </w:pPr>
            <w:r w:rsidRPr="00C649E3">
              <w:rPr>
                <w:b/>
                <w:bCs/>
                <w:lang w:eastAsia="en-US"/>
              </w:rPr>
              <w:t>2011-2012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Генеральный директор ОАО «Энергосбытовая компания Московской области», г. Москва</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2869A0">
            <w:pPr>
              <w:jc w:val="both"/>
              <w:rPr>
                <w:b/>
                <w:bCs/>
                <w:lang w:eastAsia="en-US"/>
              </w:rPr>
            </w:pPr>
            <w:r w:rsidRPr="00C649E3">
              <w:rPr>
                <w:b/>
                <w:bCs/>
                <w:lang w:eastAsia="en-US"/>
              </w:rPr>
              <w:t>2012-2013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Заместитель генерального директора по развитию и реализации услуг исполнительного аппарата ОАО «МРСК Юга», г. Ростов-на-Дону</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2869A0">
            <w:pPr>
              <w:jc w:val="both"/>
              <w:rPr>
                <w:b/>
                <w:bCs/>
                <w:lang w:eastAsia="en-US"/>
              </w:rPr>
            </w:pPr>
            <w:r w:rsidRPr="00C649E3">
              <w:rPr>
                <w:b/>
                <w:bCs/>
                <w:lang w:eastAsia="en-US"/>
              </w:rPr>
              <w:t>2013-2013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Начальник Департамента транспорта электроэнергии ОАО «Холдинг МРСК», г. Москва</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2869A0" w:rsidP="00C649E3">
            <w:pPr>
              <w:jc w:val="both"/>
              <w:rPr>
                <w:b/>
                <w:bCs/>
                <w:lang w:eastAsia="en-US"/>
              </w:rPr>
            </w:pPr>
            <w:r>
              <w:rPr>
                <w:b/>
                <w:bCs/>
                <w:lang w:eastAsia="en-US"/>
              </w:rPr>
              <w:t>2013-</w:t>
            </w:r>
            <w:r w:rsidR="00C649E3" w:rsidRPr="00C649E3">
              <w:rPr>
                <w:b/>
                <w:bCs/>
                <w:lang w:eastAsia="en-US"/>
              </w:rPr>
              <w:t>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Директор Департамента реализации электросетевых услуг ОАО «Россети»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с 2013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Генеральный директор ОАО «Карачаево-Черкесскэнерго», г. Черкесск</w:t>
            </w:r>
          </w:p>
          <w:p w:rsidR="00C649E3" w:rsidRPr="00C649E3" w:rsidRDefault="00C649E3" w:rsidP="00C649E3">
            <w:pPr>
              <w:jc w:val="both"/>
              <w:rPr>
                <w:lang w:eastAsia="en-US"/>
              </w:rPr>
            </w:pPr>
            <w:r w:rsidRPr="00C649E3">
              <w:rPr>
                <w:lang w:eastAsia="en-US"/>
              </w:rPr>
              <w:t>по совместительству:</w:t>
            </w:r>
          </w:p>
          <w:p w:rsidR="00C649E3" w:rsidRPr="00C649E3" w:rsidRDefault="00C649E3" w:rsidP="00C649E3">
            <w:pPr>
              <w:jc w:val="both"/>
              <w:rPr>
                <w:lang w:eastAsia="en-US"/>
              </w:rPr>
            </w:pPr>
            <w:r w:rsidRPr="00C649E3">
              <w:rPr>
                <w:lang w:eastAsia="en-US"/>
              </w:rPr>
              <w:t>Генеральный директор ОАО «Дагестанская энергосбытовая компания», г. Махачкала</w:t>
            </w:r>
          </w:p>
          <w:p w:rsidR="00C649E3" w:rsidRPr="00C649E3" w:rsidRDefault="00C649E3" w:rsidP="00C649E3">
            <w:pPr>
              <w:jc w:val="both"/>
              <w:rPr>
                <w:lang w:eastAsia="en-US"/>
              </w:rPr>
            </w:pPr>
            <w:r w:rsidRPr="00C649E3">
              <w:rPr>
                <w:lang w:eastAsia="en-US"/>
              </w:rPr>
              <w:t>Генеральный директор ОАО «Ингушэнерго», г. Назрань</w:t>
            </w:r>
          </w:p>
          <w:p w:rsidR="00C649E3" w:rsidRPr="00C649E3" w:rsidRDefault="00C649E3" w:rsidP="00C649E3">
            <w:pPr>
              <w:jc w:val="both"/>
              <w:rPr>
                <w:lang w:eastAsia="en-US"/>
              </w:rPr>
            </w:pPr>
            <w:r w:rsidRPr="00C649E3">
              <w:rPr>
                <w:lang w:eastAsia="en-US"/>
              </w:rPr>
              <w:t xml:space="preserve">Генеральный директор ОАО «Каббалкэнерго», г. Нальчик </w:t>
            </w:r>
          </w:p>
          <w:p w:rsidR="00C649E3" w:rsidRPr="00C649E3" w:rsidRDefault="00C649E3" w:rsidP="00C649E3">
            <w:pPr>
              <w:jc w:val="both"/>
              <w:rPr>
                <w:lang w:eastAsia="en-US"/>
              </w:rPr>
            </w:pPr>
            <w:r w:rsidRPr="00C649E3">
              <w:rPr>
                <w:lang w:eastAsia="en-US"/>
              </w:rPr>
              <w:t>Генеральный директор ОАО «Калмэнергосбыт», г. Элиста</w:t>
            </w:r>
          </w:p>
          <w:p w:rsidR="00C649E3" w:rsidRPr="00C649E3" w:rsidRDefault="00C649E3" w:rsidP="00C649E3">
            <w:pPr>
              <w:jc w:val="both"/>
              <w:rPr>
                <w:lang w:eastAsia="en-US"/>
              </w:rPr>
            </w:pPr>
            <w:r w:rsidRPr="00C649E3">
              <w:rPr>
                <w:lang w:eastAsia="en-US"/>
              </w:rPr>
              <w:t>Генеральный директор ОАО «Севкавказэнерго», г. Владикавказ</w:t>
            </w:r>
          </w:p>
          <w:p w:rsidR="00C649E3" w:rsidRPr="00C649E3" w:rsidRDefault="00C649E3" w:rsidP="00C649E3">
            <w:pPr>
              <w:jc w:val="both"/>
              <w:rPr>
                <w:lang w:eastAsia="en-US"/>
              </w:rPr>
            </w:pPr>
            <w:r w:rsidRPr="00C649E3">
              <w:rPr>
                <w:lang w:eastAsia="en-US"/>
              </w:rPr>
              <w:t>Директор «Некоммерческое партнерство субъектов инфраструктуры розничного рынка электроэнергии»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с 2014</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 xml:space="preserve">ОАО «Дагестанская энергосбытовая компания», ОАО «Ингушэнерго», </w:t>
            </w:r>
          </w:p>
          <w:p w:rsidR="00C649E3" w:rsidRPr="00C649E3" w:rsidRDefault="00C649E3" w:rsidP="00C649E3">
            <w:pPr>
              <w:jc w:val="both"/>
              <w:rPr>
                <w:bCs/>
                <w:iCs/>
                <w:lang w:eastAsia="en-US"/>
              </w:rPr>
            </w:pPr>
            <w:r w:rsidRPr="00C649E3">
              <w:rPr>
                <w:lang w:eastAsia="en-US"/>
              </w:rPr>
              <w:t>ОАО «Севкавказэнерго», ОАО «Карачаево-Черкесскэнерго», ОАО «Калмэнергосбыт» - член Совета директоров</w:t>
            </w:r>
          </w:p>
        </w:tc>
      </w:tr>
    </w:tbl>
    <w:p w:rsidR="00C649E3" w:rsidRPr="00C649E3" w:rsidRDefault="00C649E3" w:rsidP="00C649E3">
      <w:pPr>
        <w:jc w:val="both"/>
        <w:rPr>
          <w:b/>
          <w:bCs/>
          <w:iCs/>
        </w:rPr>
      </w:pPr>
    </w:p>
    <w:p w:rsidR="00C649E3" w:rsidRPr="00C649E3" w:rsidRDefault="00C649E3" w:rsidP="00C649E3">
      <w:pPr>
        <w:jc w:val="both"/>
        <w:rPr>
          <w:b/>
          <w:bCs/>
          <w:i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iCs/>
                <w:lang w:eastAsia="en-US"/>
              </w:rPr>
              <w:t xml:space="preserve">Кисляков Антон Михайлович </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1970</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Высшее: Московская Государственная Юридическая академия, юрист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lang w:eastAsia="en-US"/>
              </w:rPr>
              <w:lastRenderedPageBreak/>
              <w:t>с 2009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Начальник Управления обеспечения текущей деятельности юридического департамента ОАО «Россети»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 xml:space="preserve">: </w:t>
            </w:r>
            <w:r w:rsidRPr="00C649E3">
              <w:rPr>
                <w:lang w:eastAsia="en-US"/>
              </w:rPr>
              <w:t>нет</w:t>
            </w:r>
          </w:p>
        </w:tc>
      </w:tr>
    </w:tbl>
    <w:p w:rsidR="00C649E3" w:rsidRPr="00C649E3" w:rsidRDefault="00C649E3" w:rsidP="00C649E3">
      <w:pPr>
        <w:jc w:val="both"/>
        <w:rPr>
          <w:b/>
          <w:bCs/>
          <w:iCs/>
        </w:rPr>
      </w:pPr>
    </w:p>
    <w:p w:rsidR="00C649E3" w:rsidRPr="00C649E3" w:rsidRDefault="00C649E3" w:rsidP="00C649E3">
      <w:pPr>
        <w:jc w:val="both"/>
        <w:rPr>
          <w:b/>
          <w:bCs/>
          <w:i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iCs/>
                <w:lang w:eastAsia="en-US"/>
              </w:rPr>
              <w:t xml:space="preserve">Рень Елена Викторовна </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1982</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Высшее: Московский Гуманитарный Университет, юрист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lang w:eastAsia="en-US"/>
              </w:rPr>
              <w:t>2004-2008</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Ведущий эксперт, Главный эксперт Департамента корпоративного управления и взаимодействия с акционерами Корпоративного центра   ОАО РАО «ЕЭС России»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lang w:eastAsia="en-US"/>
              </w:rPr>
            </w:pPr>
            <w:r w:rsidRPr="00C649E3">
              <w:rPr>
                <w:b/>
                <w:bCs/>
                <w:lang w:eastAsia="en-US"/>
              </w:rPr>
              <w:t>с 2010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Ведущий эксперт отдела обеспечения прав акционеров Управления акционерного капитала Департамента корпоративного управления и взаимодействия с акционерами ОАО «Россети»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lang w:eastAsia="en-US"/>
              </w:rPr>
              <w:t xml:space="preserve">с 2011 </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ОАО «Инженерный центр энергетики Урала», ОАО «База отдыха «Энергетик» - член Совета директоров</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lang w:eastAsia="en-US"/>
              </w:rPr>
              <w:t xml:space="preserve">с 2014 </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«СЗЭУК», ОАО «ОК «Пламя» - член Совета директоров</w:t>
            </w:r>
          </w:p>
        </w:tc>
      </w:tr>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4668EF" w:rsidRDefault="004668EF" w:rsidP="00C649E3">
            <w:pPr>
              <w:jc w:val="both"/>
              <w:rPr>
                <w:b/>
                <w:bCs/>
                <w:iCs/>
                <w:lang w:eastAsia="en-US"/>
              </w:rPr>
            </w:pPr>
          </w:p>
          <w:p w:rsidR="00C649E3" w:rsidRPr="00C649E3" w:rsidRDefault="00C649E3" w:rsidP="00C649E3">
            <w:pPr>
              <w:jc w:val="both"/>
              <w:rPr>
                <w:bCs/>
                <w:iCs/>
                <w:lang w:eastAsia="en-US"/>
              </w:rPr>
            </w:pPr>
            <w:r w:rsidRPr="00C649E3">
              <w:rPr>
                <w:b/>
                <w:bCs/>
                <w:iCs/>
                <w:lang w:eastAsia="en-US"/>
              </w:rPr>
              <w:t>Саввин Юрий Александрович</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1980</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Высшее: Воронежский ГАУ, экономист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b/>
                <w:bCs/>
                <w:lang w:eastAsia="en-US"/>
              </w:rPr>
              <w:t>2008-2008</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Главный специалист отдела бизнес-планирования Департамента бизнес- планирования ОАО «Холдинг МРСК»</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649E3" w:rsidRPr="00C649E3" w:rsidRDefault="00C649E3" w:rsidP="00C649E3">
            <w:pPr>
              <w:jc w:val="center"/>
              <w:rPr>
                <w:b/>
                <w:bCs/>
                <w:lang w:eastAsia="en-US"/>
              </w:rPr>
            </w:pPr>
            <w:r w:rsidRPr="00C649E3">
              <w:rPr>
                <w:b/>
                <w:bCs/>
                <w:lang w:eastAsia="en-US"/>
              </w:rPr>
              <w:t>2008-2011</w:t>
            </w:r>
          </w:p>
          <w:p w:rsidR="00C649E3" w:rsidRPr="00C649E3" w:rsidRDefault="00C649E3" w:rsidP="00C649E3">
            <w:pPr>
              <w:jc w:val="both"/>
              <w:rPr>
                <w:b/>
                <w:bCs/>
                <w:lang w:eastAsia="en-US"/>
              </w:rPr>
            </w:pP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649E3" w:rsidRPr="00C649E3" w:rsidRDefault="00C649E3" w:rsidP="00C649E3">
            <w:pPr>
              <w:jc w:val="both"/>
              <w:rPr>
                <w:bCs/>
                <w:iCs/>
                <w:lang w:eastAsia="en-US"/>
              </w:rPr>
            </w:pPr>
            <w:r w:rsidRPr="00C649E3">
              <w:rPr>
                <w:bCs/>
                <w:iCs/>
                <w:lang w:eastAsia="en-US"/>
              </w:rPr>
              <w:t>Главный эксперт отдела бизнес-планирования Департамента бизнес-планирования ОАО «Холдинг МРСК»</w:t>
            </w:r>
          </w:p>
          <w:p w:rsidR="00C649E3" w:rsidRPr="00C649E3" w:rsidRDefault="00C649E3" w:rsidP="00C649E3">
            <w:pPr>
              <w:jc w:val="both"/>
              <w:rPr>
                <w:lang w:eastAsia="en-US"/>
              </w:rPr>
            </w:pP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649E3" w:rsidRPr="00C649E3" w:rsidRDefault="00C649E3" w:rsidP="00C649E3">
            <w:pPr>
              <w:jc w:val="center"/>
              <w:rPr>
                <w:b/>
                <w:bCs/>
                <w:lang w:eastAsia="en-US"/>
              </w:rPr>
            </w:pPr>
            <w:r w:rsidRPr="00C649E3">
              <w:rPr>
                <w:b/>
                <w:bCs/>
                <w:lang w:eastAsia="en-US"/>
              </w:rPr>
              <w:t>2011-2013</w:t>
            </w:r>
          </w:p>
          <w:p w:rsidR="00C649E3" w:rsidRPr="00C649E3" w:rsidRDefault="00C649E3" w:rsidP="00C649E3">
            <w:pPr>
              <w:jc w:val="center"/>
              <w:rPr>
                <w:b/>
                <w:bCs/>
                <w:lang w:eastAsia="en-US"/>
              </w:rPr>
            </w:pP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tcPr>
          <w:p w:rsidR="00C649E3" w:rsidRPr="00C649E3" w:rsidRDefault="00C649E3" w:rsidP="00C649E3">
            <w:pPr>
              <w:jc w:val="both"/>
              <w:rPr>
                <w:bCs/>
                <w:iCs/>
                <w:lang w:eastAsia="en-US"/>
              </w:rPr>
            </w:pPr>
            <w:r w:rsidRPr="00C649E3">
              <w:rPr>
                <w:bCs/>
                <w:iCs/>
                <w:lang w:eastAsia="en-US"/>
              </w:rPr>
              <w:t>Начальник отдела бизнес-планирования Департамента экономического планирования и бюджетирования ОАО «Холдинг МРСК»</w:t>
            </w:r>
          </w:p>
          <w:p w:rsidR="00C649E3" w:rsidRPr="00C649E3" w:rsidRDefault="00C649E3" w:rsidP="00C649E3">
            <w:pPr>
              <w:jc w:val="both"/>
              <w:rPr>
                <w:bCs/>
                <w:iCs/>
                <w:lang w:eastAsia="en-US"/>
              </w:rPr>
            </w:pP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
                <w:bCs/>
                <w:lang w:eastAsia="en-US"/>
              </w:rPr>
              <w:t>с 2013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Заместитель начальника управления экономики ДЗО Департамента экономического планирования и бюджетирования ОАО «Россети»</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iCs/>
                <w:lang w:eastAsia="en-US"/>
              </w:rPr>
            </w:pPr>
            <w:r w:rsidRPr="00C649E3">
              <w:rPr>
                <w:b/>
                <w:lang w:eastAsia="en-US"/>
              </w:rPr>
              <w:t xml:space="preserve">с 2012 </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ОАО «ВНИПИэнергопром», член Совета директоров</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lang w:eastAsia="en-US"/>
              </w:rPr>
            </w:pPr>
            <w:r w:rsidRPr="00C649E3">
              <w:rPr>
                <w:b/>
                <w:lang w:eastAsia="en-US"/>
              </w:rPr>
              <w:t xml:space="preserve">с 2014 </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«НИЦ Юга», член Совета директоров</w:t>
            </w:r>
          </w:p>
        </w:tc>
      </w:tr>
    </w:tbl>
    <w:p w:rsidR="00C649E3" w:rsidRPr="00C649E3" w:rsidRDefault="00C649E3" w:rsidP="00C649E3">
      <w:pPr>
        <w:jc w:val="both"/>
        <w:rPr>
          <w:b/>
          <w:bCs/>
          <w:i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iCs/>
                <w:lang w:eastAsia="en-US"/>
              </w:rPr>
              <w:lastRenderedPageBreak/>
              <w:t xml:space="preserve">Эристова Ляна Ахмедовна </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1973</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Высшее: КБГУ, Нальчик, экономист, юрист.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b/>
                <w:bCs/>
                <w:lang w:eastAsia="en-US"/>
              </w:rPr>
              <w:t>2004-2009</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Начальник отдела ТУ Росимущества в КБР</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
                <w:bCs/>
                <w:lang w:eastAsia="en-US"/>
              </w:rPr>
              <w:t>2009-2010</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iCs/>
                <w:lang w:eastAsia="en-US"/>
              </w:rPr>
              <w:t>Начальник отдела Администрации г.о. Прохладный</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hideMark/>
          </w:tcPr>
          <w:p w:rsidR="00C649E3" w:rsidRPr="00C649E3" w:rsidRDefault="00C649E3" w:rsidP="00C649E3">
            <w:pPr>
              <w:jc w:val="center"/>
              <w:rPr>
                <w:b/>
                <w:bCs/>
                <w:lang w:eastAsia="en-US"/>
              </w:rPr>
            </w:pPr>
            <w:r w:rsidRPr="00C649E3">
              <w:rPr>
                <w:b/>
                <w:bCs/>
                <w:lang w:eastAsia="en-US"/>
              </w:rPr>
              <w:t>2010</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Начальник отдела ООО «Научно-технический центр Академии технологических наук»</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
                <w:bCs/>
                <w:lang w:eastAsia="en-US"/>
              </w:rPr>
              <w:t>2010-2011</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Предпринимательская деятельность (ИП «Шегай Е.А.»)</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
                <w:bCs/>
                <w:lang w:eastAsia="en-US"/>
              </w:rPr>
              <w:t>с 2011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iCs/>
                <w:lang w:eastAsia="en-US"/>
              </w:rPr>
              <w:t>Начальник отдела ТУ Росимущества в КБР</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lang w:eastAsia="en-US"/>
              </w:rPr>
            </w:pPr>
            <w:r w:rsidRPr="00C649E3">
              <w:rPr>
                <w:b/>
                <w:bCs/>
                <w:iCs/>
                <w:lang w:eastAsia="en-US"/>
              </w:rPr>
              <w:t>Организации, в которых член Совета директоров Общества входит в органы управления и контроля</w:t>
            </w:r>
            <w:r w:rsidRPr="00C649E3">
              <w:rPr>
                <w:b/>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iCs/>
                <w:lang w:eastAsia="en-US"/>
              </w:rPr>
            </w:pPr>
            <w:r w:rsidRPr="00C649E3">
              <w:rPr>
                <w:b/>
                <w:lang w:eastAsia="en-US"/>
              </w:rPr>
              <w:t xml:space="preserve">с 2014 </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 xml:space="preserve">ОАО «Племенной завод «им. С.Аттоева», ОАО «Племенной рыбоводный завод «Кабардино-Балкарский», ОАО «ДРСУ № 6», </w:t>
            </w:r>
          </w:p>
          <w:p w:rsidR="00C649E3" w:rsidRPr="00C649E3" w:rsidRDefault="00C649E3" w:rsidP="00C649E3">
            <w:pPr>
              <w:jc w:val="both"/>
              <w:rPr>
                <w:bCs/>
                <w:iCs/>
                <w:lang w:eastAsia="en-US"/>
              </w:rPr>
            </w:pPr>
            <w:r w:rsidRPr="00C649E3">
              <w:rPr>
                <w:lang w:eastAsia="en-US"/>
              </w:rPr>
              <w:t>ОАО «Кабардино-Балкарский «Зооветснаб», ОАО «Телемеханика» - член Совета директоров</w:t>
            </w:r>
          </w:p>
        </w:tc>
      </w:tr>
    </w:tbl>
    <w:p w:rsidR="00C649E3" w:rsidRPr="00C649E3" w:rsidRDefault="00C649E3" w:rsidP="00C649E3">
      <w:pPr>
        <w:ind w:firstLine="709"/>
        <w:jc w:val="both"/>
        <w:rPr>
          <w:bCs/>
          <w:iCs/>
        </w:rPr>
      </w:pPr>
    </w:p>
    <w:p w:rsidR="00C649E3" w:rsidRPr="00C649E3" w:rsidRDefault="00C649E3" w:rsidP="00C649E3">
      <w:pPr>
        <w:ind w:firstLine="709"/>
        <w:jc w:val="both"/>
        <w:rPr>
          <w:bCs/>
          <w:iCs/>
        </w:rPr>
      </w:pPr>
      <w:r w:rsidRPr="00C649E3">
        <w:rPr>
          <w:bCs/>
          <w:iCs/>
        </w:rPr>
        <w:t>В 2014 году членами Совета директоров ОАО «Каббалкэнерго» не совершались сделки по приобретению и (или) отчуждению акций Общества.</w:t>
      </w:r>
      <w:r w:rsidRPr="00C649E3">
        <w:t xml:space="preserve"> Сделок между               ОАО «Каббалкэнерго» и членами Совета директоров Общества в течение отчетного периода не совершалось.</w:t>
      </w:r>
    </w:p>
    <w:p w:rsidR="00C649E3" w:rsidRPr="00C649E3" w:rsidRDefault="00C649E3" w:rsidP="00C649E3">
      <w:pPr>
        <w:ind w:firstLine="709"/>
        <w:jc w:val="both"/>
      </w:pPr>
      <w:r w:rsidRPr="00C649E3">
        <w:t>Начисление и выплата вознаграждений членам Совета директоров Общества производится в соответствии с Положением о выплате членам Совета директоров                   ОАО «Каббалкэнерго» вознаграждений и компенсаций, утвержденным годовым Общим собранием акционеров Общества (Протокол от 30.05.2008 №32).</w:t>
      </w:r>
    </w:p>
    <w:p w:rsidR="00C649E3" w:rsidRPr="00C649E3" w:rsidRDefault="00C649E3" w:rsidP="00C649E3">
      <w:pPr>
        <w:tabs>
          <w:tab w:val="left" w:pos="1276"/>
        </w:tabs>
        <w:ind w:firstLine="709"/>
        <w:jc w:val="both"/>
      </w:pPr>
      <w:r w:rsidRPr="00C649E3">
        <w:t>За участие в заседании Совета директоров, проводимого в заочной форме (путем заполнения опросного листа) члену Совета директоров Общества выплачивается вознаграждение в размере суммы, эквивалентной 5 (Пяти) минимальным месячным тарифным ставкам рабочего первого разряда, установленным отраслевым тарифным соглашением в электроэнергетическом комплексе РФ (далее - Соглашение) на день проведения заседания Совета директоров Общества, с учетом индексации, установленной Соглашением, в течение одного месяца после проведения заседания Совета директоров Общества.</w:t>
      </w:r>
    </w:p>
    <w:p w:rsidR="00C649E3" w:rsidRPr="00C649E3" w:rsidRDefault="00C649E3" w:rsidP="00C649E3">
      <w:pPr>
        <w:tabs>
          <w:tab w:val="left" w:pos="709"/>
        </w:tabs>
        <w:ind w:firstLine="709"/>
        <w:jc w:val="both"/>
      </w:pPr>
      <w:r w:rsidRPr="00C649E3">
        <w:t>За участие в заседании Совета директоров, проводимого в форме совместного присутствия, члену Совета директоров Общества выплачивается вознаграждение в размере суммы, эквивалентной 7 (Семи) минимальным месячным тарифным ставкам рабочего первого разряда, установленным отраслевым тарифным соглашением в электроэнергетическом комплексе РФ (далее - Соглашение) на день проведения заседания Совета директоров Общества, с учетом индексации, установленной Соглашением, в течение одного месяца после проведения заседания Совета директоров Общества.</w:t>
      </w:r>
    </w:p>
    <w:p w:rsidR="00C649E3" w:rsidRPr="00C649E3" w:rsidRDefault="00C649E3" w:rsidP="00C649E3">
      <w:pPr>
        <w:tabs>
          <w:tab w:val="left" w:pos="709"/>
        </w:tabs>
        <w:ind w:firstLine="709"/>
        <w:jc w:val="both"/>
      </w:pPr>
      <w:r w:rsidRPr="00C649E3">
        <w:t>Размер вознаграждения, выплачиваемого в соответствии с п. 4.1 Положения Председателю (Заместителю Председателя) - за каждое заседание, на котором он выполнял функции Председателя Совета директоров увеличивается на 50%.</w:t>
      </w:r>
    </w:p>
    <w:p w:rsidR="00C649E3" w:rsidRPr="00C649E3" w:rsidRDefault="00C649E3" w:rsidP="00C649E3">
      <w:pPr>
        <w:tabs>
          <w:tab w:val="left" w:pos="1276"/>
        </w:tabs>
        <w:ind w:firstLine="709"/>
        <w:jc w:val="both"/>
      </w:pPr>
      <w:r w:rsidRPr="00C649E3">
        <w:t>Членам Совета выплачивается дополнительное вознаграждение за показатель чистой прибыли Общества по данным годовой бухгалтерской отчетности, утвержденной Общим собранием акционеров Общества.</w:t>
      </w:r>
    </w:p>
    <w:p w:rsidR="00C649E3" w:rsidRPr="00C649E3" w:rsidRDefault="00C649E3" w:rsidP="00C649E3">
      <w:pPr>
        <w:tabs>
          <w:tab w:val="left" w:pos="1276"/>
        </w:tabs>
        <w:ind w:firstLine="709"/>
        <w:jc w:val="both"/>
      </w:pPr>
      <w:r w:rsidRPr="00C649E3">
        <w:lastRenderedPageBreak/>
        <w:t>Членам Совета директоров выплачивается дополнительное вознаграждение в случае увеличения размера рыночной капитализации Общества за период работы Совета директоров (в случае допуска акций к торгам на ММВБ-РТС).</w:t>
      </w:r>
    </w:p>
    <w:p w:rsidR="00C649E3" w:rsidRPr="00C649E3" w:rsidRDefault="00C649E3" w:rsidP="00C649E3">
      <w:pPr>
        <w:tabs>
          <w:tab w:val="center" w:pos="4677"/>
          <w:tab w:val="right" w:pos="9355"/>
        </w:tabs>
        <w:jc w:val="center"/>
        <w:rPr>
          <w:b/>
        </w:rPr>
      </w:pPr>
    </w:p>
    <w:p w:rsidR="00C649E3" w:rsidRPr="00C649E3" w:rsidRDefault="00C649E3" w:rsidP="00C649E3">
      <w:pPr>
        <w:tabs>
          <w:tab w:val="center" w:pos="4677"/>
          <w:tab w:val="right" w:pos="9355"/>
        </w:tabs>
        <w:rPr>
          <w:b/>
        </w:rPr>
      </w:pPr>
      <w:r w:rsidRPr="00C649E3">
        <w:rPr>
          <w:b/>
        </w:rPr>
        <w:t xml:space="preserve">Размер вознаграждения, выплаченного членам Совета директоров за участие в заседаниях в 2014 году: </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78"/>
        <w:gridCol w:w="4678"/>
      </w:tblGrid>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rsidR="00C649E3" w:rsidRPr="00C649E3" w:rsidRDefault="00C649E3" w:rsidP="00C649E3">
            <w:pPr>
              <w:spacing w:line="276" w:lineRule="auto"/>
              <w:jc w:val="center"/>
              <w:rPr>
                <w:rFonts w:eastAsia="Calibri"/>
                <w:b/>
                <w:bCs/>
                <w:lang w:eastAsia="en-US"/>
              </w:rPr>
            </w:pPr>
          </w:p>
          <w:p w:rsidR="00C649E3" w:rsidRPr="00C649E3" w:rsidRDefault="00C649E3" w:rsidP="00C649E3">
            <w:pPr>
              <w:spacing w:line="276" w:lineRule="auto"/>
              <w:jc w:val="center"/>
              <w:rPr>
                <w:rFonts w:eastAsia="Calibri"/>
                <w:b/>
                <w:bCs/>
                <w:lang w:eastAsia="en-US"/>
              </w:rPr>
            </w:pPr>
            <w:r w:rsidRPr="00C649E3">
              <w:rPr>
                <w:rFonts w:eastAsia="Calibri"/>
                <w:b/>
                <w:bCs/>
                <w:lang w:eastAsia="en-US"/>
              </w:rPr>
              <w:t>ФИО</w:t>
            </w:r>
          </w:p>
        </w:tc>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jc w:val="center"/>
              <w:rPr>
                <w:rFonts w:eastAsia="Calibri"/>
                <w:b/>
                <w:bCs/>
                <w:lang w:eastAsia="en-US"/>
              </w:rPr>
            </w:pPr>
            <w:r w:rsidRPr="00C649E3">
              <w:rPr>
                <w:rFonts w:eastAsia="Calibri"/>
                <w:b/>
                <w:bCs/>
                <w:lang w:eastAsia="en-US"/>
              </w:rPr>
              <w:t xml:space="preserve">Вознаграждение за участие в заседании Совета директоров, </w:t>
            </w:r>
          </w:p>
          <w:p w:rsidR="00C649E3" w:rsidRPr="00C649E3" w:rsidRDefault="00C649E3" w:rsidP="00C649E3">
            <w:pPr>
              <w:spacing w:line="276" w:lineRule="auto"/>
              <w:jc w:val="center"/>
              <w:rPr>
                <w:rFonts w:eastAsia="Calibri"/>
                <w:b/>
                <w:bCs/>
                <w:lang w:eastAsia="en-US"/>
              </w:rPr>
            </w:pPr>
            <w:r w:rsidRPr="00C649E3">
              <w:rPr>
                <w:rFonts w:eastAsia="Calibri"/>
                <w:b/>
                <w:bCs/>
                <w:lang w:eastAsia="en-US"/>
              </w:rPr>
              <w:t xml:space="preserve"> руб.</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 xml:space="preserve">Сельцовский Петр Андреевич </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Бикмурзин Адель Фяритович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297 000,00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Лисавин Андрей Владимирович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297 000,00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Ейст Александр Валерьевич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243 000,00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Раков Алексей Викторович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715 500,00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Саух Максим Михайлович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477 000,00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Аушев Артур Магометович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180 000,00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Кисляков Антон Михайлович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150 000,00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Рень Елена Викторовна</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180 000,00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Саввин Юрий Александрович</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447 000,00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Cs/>
                <w:lang w:eastAsia="en-US"/>
              </w:rPr>
            </w:pPr>
            <w:r w:rsidRPr="00C649E3">
              <w:rPr>
                <w:rFonts w:eastAsia="Calibri"/>
                <w:bCs/>
                <w:lang w:eastAsia="en-US"/>
              </w:rPr>
              <w:t>Эристова Ляна Ахмедовна</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Cs/>
                <w:lang w:eastAsia="en-US"/>
              </w:rPr>
            </w:pPr>
            <w:r w:rsidRPr="00C649E3">
              <w:rPr>
                <w:rFonts w:eastAsia="Calibri"/>
                <w:bCs/>
                <w:lang w:eastAsia="en-US"/>
              </w:rPr>
              <w:t>0</w:t>
            </w:r>
          </w:p>
        </w:tc>
      </w:tr>
      <w:tr w:rsidR="00C649E3" w:rsidRPr="00C649E3" w:rsidTr="00C649E3">
        <w:tc>
          <w:tcPr>
            <w:tcW w:w="467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C649E3" w:rsidRPr="00C649E3" w:rsidRDefault="00C649E3" w:rsidP="00C649E3">
            <w:pPr>
              <w:spacing w:line="276" w:lineRule="auto"/>
              <w:rPr>
                <w:rFonts w:eastAsia="Calibri"/>
                <w:b/>
                <w:bCs/>
                <w:lang w:eastAsia="en-US"/>
              </w:rPr>
            </w:pPr>
            <w:r w:rsidRPr="00C649E3">
              <w:rPr>
                <w:rFonts w:eastAsia="Calibri"/>
                <w:b/>
                <w:bCs/>
                <w:lang w:eastAsia="en-US"/>
              </w:rPr>
              <w:t>ИТОГО:</w:t>
            </w:r>
          </w:p>
        </w:tc>
        <w:tc>
          <w:tcPr>
            <w:tcW w:w="4678"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spacing w:line="276" w:lineRule="auto"/>
              <w:jc w:val="right"/>
              <w:rPr>
                <w:rFonts w:eastAsia="Calibri"/>
                <w:b/>
                <w:bCs/>
                <w:lang w:eastAsia="en-US"/>
              </w:rPr>
            </w:pPr>
            <w:r w:rsidRPr="00C649E3">
              <w:rPr>
                <w:rFonts w:eastAsia="Calibri"/>
                <w:b/>
                <w:bCs/>
                <w:lang w:eastAsia="en-US"/>
              </w:rPr>
              <w:t>2 986 500,00</w:t>
            </w:r>
          </w:p>
        </w:tc>
      </w:tr>
    </w:tbl>
    <w:p w:rsidR="004668EF" w:rsidRDefault="004668EF" w:rsidP="004668EF">
      <w:pPr>
        <w:spacing w:before="100" w:beforeAutospacing="1" w:after="100" w:afterAutospacing="1"/>
        <w:contextualSpacing/>
        <w:rPr>
          <w:b/>
          <w:snapToGrid w:val="0"/>
        </w:rPr>
      </w:pPr>
    </w:p>
    <w:p w:rsidR="00C649E3" w:rsidRPr="0075673B" w:rsidRDefault="004668EF" w:rsidP="004668EF">
      <w:pPr>
        <w:spacing w:before="100" w:beforeAutospacing="1" w:after="100" w:afterAutospacing="1"/>
        <w:contextualSpacing/>
        <w:jc w:val="center"/>
        <w:rPr>
          <w:b/>
          <w:snapToGrid w:val="0"/>
          <w:sz w:val="28"/>
        </w:rPr>
      </w:pPr>
      <w:r w:rsidRPr="0075673B">
        <w:rPr>
          <w:b/>
          <w:snapToGrid w:val="0"/>
          <w:sz w:val="28"/>
        </w:rPr>
        <w:t xml:space="preserve">5.2.3. </w:t>
      </w:r>
      <w:r w:rsidR="00C649E3" w:rsidRPr="0075673B">
        <w:rPr>
          <w:b/>
          <w:snapToGrid w:val="0"/>
          <w:sz w:val="28"/>
        </w:rPr>
        <w:t>Генеральный директор</w:t>
      </w:r>
    </w:p>
    <w:p w:rsidR="00C649E3" w:rsidRPr="00C649E3" w:rsidRDefault="00C649E3" w:rsidP="00C649E3">
      <w:pPr>
        <w:spacing w:before="100" w:beforeAutospacing="1" w:after="100" w:afterAutospacing="1"/>
        <w:contextualSpacing/>
        <w:rPr>
          <w:b/>
          <w:snapToGrid w:val="0"/>
        </w:rPr>
      </w:pPr>
    </w:p>
    <w:p w:rsidR="00C649E3" w:rsidRPr="00C649E3" w:rsidRDefault="00C649E3" w:rsidP="00C649E3">
      <w:pPr>
        <w:tabs>
          <w:tab w:val="left" w:pos="1134"/>
        </w:tabs>
        <w:ind w:firstLine="709"/>
        <w:jc w:val="both"/>
        <w:rPr>
          <w:snapToGrid w:val="0"/>
        </w:rPr>
      </w:pPr>
      <w:r w:rsidRPr="00C649E3">
        <w:rPr>
          <w:snapToGrid w:val="0"/>
        </w:rPr>
        <w:t xml:space="preserve">В соответствии со ст.19 Устава ОАО «Каббалкэнерго» руководство текущей деятельностью Общества осуществляется единоличным исполнительным органом – Генеральным директором. </w:t>
      </w:r>
    </w:p>
    <w:p w:rsidR="00C649E3" w:rsidRPr="00C649E3" w:rsidRDefault="00C649E3" w:rsidP="00C649E3">
      <w:pPr>
        <w:tabs>
          <w:tab w:val="left" w:pos="1134"/>
        </w:tabs>
        <w:ind w:firstLine="709"/>
        <w:jc w:val="both"/>
        <w:rPr>
          <w:snapToGrid w:val="0"/>
        </w:rPr>
      </w:pPr>
      <w:r w:rsidRPr="00C649E3">
        <w:rPr>
          <w:snapToGrid w:val="0"/>
        </w:rPr>
        <w:t>Генеральный директор Общества подотчетен Общему собранию акционеров и Совету директоров Общества.</w:t>
      </w:r>
    </w:p>
    <w:p w:rsidR="00C649E3" w:rsidRPr="00C649E3" w:rsidRDefault="00C649E3" w:rsidP="00C649E3">
      <w:pPr>
        <w:ind w:firstLine="709"/>
        <w:jc w:val="both"/>
      </w:pPr>
      <w:r w:rsidRPr="00C649E3">
        <w:t xml:space="preserve">Генеральный директор действует от имени Общества без доверенности, в том числе с учетом ограничений, предусмотренных действующим законодательством, Уставом и решениями Совета директоров Общества. </w:t>
      </w:r>
    </w:p>
    <w:p w:rsidR="00C649E3" w:rsidRPr="00C649E3" w:rsidRDefault="00C649E3" w:rsidP="00C649E3">
      <w:pPr>
        <w:ind w:firstLine="709"/>
        <w:jc w:val="both"/>
      </w:pPr>
      <w:r w:rsidRPr="00C649E3">
        <w:t>Перечень вопросов, отнесенных к компетенции Генерального директора, установлен  Федеральным законом «Об акционерных обществах» и ст. 19 Устава Общества.</w:t>
      </w:r>
    </w:p>
    <w:p w:rsidR="00C649E3" w:rsidRPr="00C649E3" w:rsidRDefault="00C649E3" w:rsidP="00C649E3">
      <w:pPr>
        <w:ind w:firstLine="709"/>
        <w:jc w:val="both"/>
        <w:rPr>
          <w:snapToGrid w:val="0"/>
        </w:rPr>
      </w:pPr>
      <w:r w:rsidRPr="00C649E3">
        <w:t>Генеральный директор избирается Советом директоров Общества большинством голосов членов Совета директоров, принимающих участие в заседании.</w:t>
      </w:r>
    </w:p>
    <w:p w:rsidR="00C649E3" w:rsidRPr="00C649E3" w:rsidRDefault="00C649E3" w:rsidP="00C649E3">
      <w:pPr>
        <w:ind w:firstLine="709"/>
        <w:jc w:val="both"/>
      </w:pPr>
      <w:r w:rsidRPr="00C649E3">
        <w:t xml:space="preserve">Решением Совета директоров Общества с 30.10.2013 исполняющим обязанности генерального директора Общества назначен Аушев Артур Магометович  (Протокол № 124 от 31.10.2013). Решением Совета директоров от 20.12.2013 года Аушев Артур Магометович избран Генеральным директором Общества на срок до 19.12.2016г. по совместительству (Протокол № 125 от 23.12.2013). </w:t>
      </w:r>
    </w:p>
    <w:p w:rsidR="00C649E3" w:rsidRPr="00C649E3" w:rsidRDefault="00C649E3" w:rsidP="00C649E3">
      <w:pPr>
        <w:ind w:firstLine="709"/>
        <w:jc w:val="both"/>
      </w:pPr>
      <w:r w:rsidRPr="00C649E3">
        <w:t xml:space="preserve">Подробная информация о А.М. Аушеве представлена в </w:t>
      </w:r>
      <w:r w:rsidRPr="00C649E3">
        <w:rPr>
          <w:bCs/>
          <w:iCs/>
        </w:rPr>
        <w:t xml:space="preserve">подразделе «Персональный состав Совета директоров Общества, избранный </w:t>
      </w:r>
      <w:r w:rsidR="006A02D5">
        <w:rPr>
          <w:bCs/>
          <w:iCs/>
        </w:rPr>
        <w:t>годовым</w:t>
      </w:r>
      <w:r w:rsidRPr="00C649E3">
        <w:rPr>
          <w:bCs/>
          <w:iCs/>
        </w:rPr>
        <w:t xml:space="preserve"> Общим собранием акционеров 26.06.2014».</w:t>
      </w:r>
    </w:p>
    <w:p w:rsidR="0075673B" w:rsidRDefault="0075673B" w:rsidP="00C649E3">
      <w:pPr>
        <w:spacing w:before="240"/>
        <w:jc w:val="center"/>
        <w:rPr>
          <w:rFonts w:eastAsia="Calibri"/>
          <w:b/>
          <w:bCs/>
          <w:sz w:val="28"/>
          <w:lang w:eastAsia="en-US"/>
        </w:rPr>
      </w:pPr>
    </w:p>
    <w:p w:rsidR="0075673B" w:rsidRDefault="0075673B" w:rsidP="00C649E3">
      <w:pPr>
        <w:spacing w:before="240"/>
        <w:jc w:val="center"/>
        <w:rPr>
          <w:rFonts w:eastAsia="Calibri"/>
          <w:b/>
          <w:bCs/>
          <w:sz w:val="28"/>
          <w:lang w:eastAsia="en-US"/>
        </w:rPr>
      </w:pPr>
    </w:p>
    <w:p w:rsidR="00C649E3" w:rsidRPr="0075673B" w:rsidRDefault="00C649E3" w:rsidP="00C649E3">
      <w:pPr>
        <w:spacing w:before="240"/>
        <w:jc w:val="center"/>
        <w:rPr>
          <w:rFonts w:eastAsia="Calibri"/>
          <w:b/>
          <w:bCs/>
          <w:sz w:val="28"/>
          <w:lang w:eastAsia="en-US"/>
        </w:rPr>
      </w:pPr>
      <w:r w:rsidRPr="0075673B">
        <w:rPr>
          <w:rFonts w:eastAsia="Calibri"/>
          <w:b/>
          <w:bCs/>
          <w:sz w:val="28"/>
          <w:lang w:eastAsia="en-US"/>
        </w:rPr>
        <w:lastRenderedPageBreak/>
        <w:t>5.2.4. Вознаграждение Генерального директора</w:t>
      </w:r>
    </w:p>
    <w:p w:rsidR="00C649E3" w:rsidRPr="00C649E3" w:rsidRDefault="00C649E3" w:rsidP="00C649E3">
      <w:pPr>
        <w:keepNext/>
        <w:outlineLvl w:val="3"/>
        <w:rPr>
          <w:b/>
        </w:rPr>
      </w:pPr>
    </w:p>
    <w:p w:rsidR="00C649E3" w:rsidRPr="00C649E3" w:rsidRDefault="00C649E3" w:rsidP="00C649E3">
      <w:pPr>
        <w:ind w:firstLine="567"/>
        <w:jc w:val="both"/>
        <w:rPr>
          <w:rFonts w:eastAsia="Calibri"/>
          <w:lang w:eastAsia="en-US"/>
        </w:rPr>
      </w:pPr>
      <w:r w:rsidRPr="00C649E3">
        <w:rPr>
          <w:rFonts w:eastAsia="Calibri"/>
          <w:lang w:eastAsia="en-US"/>
        </w:rPr>
        <w:t xml:space="preserve">С Генеральным директором ОАО «Каббалкэнерго» Аушевым Артуром Магометовичем (далее – Руководитель) заключен Трудовой договор от 23.12.2013 №501 (далее – Трудовой договор). </w:t>
      </w:r>
    </w:p>
    <w:p w:rsidR="00C649E3" w:rsidRPr="00C649E3" w:rsidRDefault="00C649E3" w:rsidP="00C649E3">
      <w:pPr>
        <w:ind w:firstLine="567"/>
        <w:jc w:val="both"/>
        <w:rPr>
          <w:rFonts w:eastAsia="Calibri"/>
          <w:lang w:eastAsia="en-US"/>
        </w:rPr>
      </w:pPr>
      <w:r w:rsidRPr="00C649E3">
        <w:rPr>
          <w:rFonts w:eastAsia="Calibri"/>
          <w:lang w:eastAsia="en-US"/>
        </w:rPr>
        <w:t>Согласно Трудовому договору Общество обязано выплачивать в полном размере причитающуюся генеральному директору заработную плату в сроки, установленные правилами внутреннего распорядка Общества.</w:t>
      </w:r>
    </w:p>
    <w:p w:rsidR="00C649E3" w:rsidRPr="00C649E3" w:rsidRDefault="00C649E3" w:rsidP="00C649E3">
      <w:pPr>
        <w:ind w:firstLine="567"/>
        <w:jc w:val="both"/>
        <w:rPr>
          <w:rFonts w:eastAsia="Calibri"/>
          <w:lang w:eastAsia="en-US"/>
        </w:rPr>
      </w:pPr>
      <w:r w:rsidRPr="00C649E3">
        <w:rPr>
          <w:rFonts w:eastAsia="Calibri"/>
          <w:lang w:eastAsia="en-US"/>
        </w:rPr>
        <w:t>Размер должностного оклада Руководителя определяется исходя из должностного оклада в соответствии со штатным расписание пропорционально продолжительности рабочего времени установленной вышеуказанным Трудовым договором и устанавливается лицом, уполномоченным Советом директоров Общества определять условия трудового договора с Генеральным директором и подписывать его от имени Общества</w:t>
      </w:r>
    </w:p>
    <w:p w:rsidR="00C649E3" w:rsidRPr="00C649E3" w:rsidRDefault="00C649E3" w:rsidP="00C649E3">
      <w:pPr>
        <w:ind w:firstLine="284"/>
        <w:jc w:val="both"/>
        <w:rPr>
          <w:rFonts w:eastAsia="Calibri"/>
          <w:lang w:eastAsia="en-US"/>
        </w:rPr>
      </w:pPr>
      <w:r w:rsidRPr="00C649E3">
        <w:rPr>
          <w:rFonts w:eastAsia="Calibri"/>
          <w:lang w:eastAsia="en-US"/>
        </w:rPr>
        <w:t xml:space="preserve">    Порядок определения, утверждения и изменения размера должностного оклада Руководителя определен Положением о материальном стимулировании Генерального директора ОАО «Каббалкэнерго», утвержденным Советом директоров 14.07.2011 (Протокол заседания Совета директоров от  15.07.2011 №92) в редакции  решений Совета директоров от 17.04.2012 (Протокол от 18.04.2012 №105) и от 03.04.2014 (Протокол от 07.04.2014 №132) (далее – Положение). </w:t>
      </w:r>
    </w:p>
    <w:p w:rsidR="00C649E3" w:rsidRPr="00C649E3" w:rsidRDefault="00C649E3" w:rsidP="00C649E3">
      <w:pPr>
        <w:ind w:firstLine="567"/>
        <w:jc w:val="both"/>
        <w:rPr>
          <w:rFonts w:eastAsia="Calibri"/>
          <w:lang w:eastAsia="en-US"/>
        </w:rPr>
      </w:pPr>
      <w:r w:rsidRPr="00C649E3">
        <w:rPr>
          <w:rFonts w:eastAsia="Calibri"/>
          <w:lang w:eastAsia="en-US"/>
        </w:rPr>
        <w:t>Положение регулирует вопросы материального стимулирования Генерального директора Общества, в том числе устанавливает:  порядок определения, утверждения и изменения размера должностного оклада Генерального директора Общества; виды премирования; порядок выплаты должностного оклада, премий; порядок принятия решений, направленных на реализацию данного Положения.</w:t>
      </w:r>
    </w:p>
    <w:p w:rsidR="00C649E3" w:rsidRPr="00C649E3" w:rsidRDefault="00C649E3" w:rsidP="00C649E3">
      <w:pPr>
        <w:ind w:firstLine="709"/>
        <w:jc w:val="both"/>
        <w:rPr>
          <w:iCs/>
          <w:lang w:eastAsia="x-none"/>
        </w:rPr>
      </w:pPr>
      <w:r w:rsidRPr="00C649E3">
        <w:rPr>
          <w:rFonts w:eastAsia="Calibri"/>
          <w:lang w:eastAsia="en-US"/>
        </w:rPr>
        <w:t>Совет директоров Общества вправе принять решение о невыплате или выплате премии по итогам квартала и года Руководителю в неполном объеме.</w:t>
      </w:r>
    </w:p>
    <w:p w:rsidR="00C649E3" w:rsidRPr="00C649E3" w:rsidRDefault="00C649E3" w:rsidP="00C649E3">
      <w:pPr>
        <w:ind w:firstLine="709"/>
        <w:jc w:val="both"/>
        <w:rPr>
          <w:iCs/>
          <w:lang w:eastAsia="x-none"/>
        </w:rPr>
      </w:pPr>
      <w:r w:rsidRPr="00C649E3">
        <w:rPr>
          <w:iCs/>
          <w:lang w:eastAsia="x-none"/>
        </w:rPr>
        <w:t>Премирование Генерального директора Общества за результаты выполнения ключевых показателей эффективности зависит от итогов выполнения утвержденных Советом директоров Общества ключевых показателей эффективности (далее КПЭ) за отчетные периоды (квартал и год). Квартальными КПЭ являются коэффициент срочной ликвидности и процент оплаты услуг по передаче электроэнергии (нарастающим итогом), годовыми КПЭ - рентабельность собственного капитала (ROE), обеспеченная денежным потоком, и оплата поставленной электроэнергии.</w:t>
      </w:r>
    </w:p>
    <w:p w:rsidR="00C649E3" w:rsidRPr="00C649E3" w:rsidRDefault="00C649E3" w:rsidP="00C649E3">
      <w:pPr>
        <w:ind w:firstLine="709"/>
        <w:jc w:val="both"/>
        <w:rPr>
          <w:iCs/>
          <w:lang w:eastAsia="x-none"/>
        </w:rPr>
      </w:pPr>
      <w:r w:rsidRPr="00C649E3">
        <w:rPr>
          <w:iCs/>
          <w:lang w:eastAsia="x-none"/>
        </w:rPr>
        <w:t>Суммарный размер заработной платы, вознаграждений за участие в заседаниях Совета директоров Общества, премий Аушева А.М. в 2014 году составил</w:t>
      </w:r>
      <w:r w:rsidR="002869A0">
        <w:rPr>
          <w:iCs/>
          <w:lang w:eastAsia="x-none"/>
        </w:rPr>
        <w:t xml:space="preserve"> </w:t>
      </w:r>
      <w:r w:rsidRPr="00C649E3">
        <w:rPr>
          <w:iCs/>
          <w:lang w:eastAsia="x-none"/>
        </w:rPr>
        <w:t>1 007 330,07 рублей.</w:t>
      </w:r>
    </w:p>
    <w:p w:rsidR="00C649E3" w:rsidRPr="0075673B" w:rsidRDefault="00C649E3" w:rsidP="00AE0E97">
      <w:pPr>
        <w:numPr>
          <w:ilvl w:val="2"/>
          <w:numId w:val="32"/>
        </w:numPr>
        <w:spacing w:before="100" w:beforeAutospacing="1" w:after="100" w:afterAutospacing="1"/>
        <w:ind w:left="0" w:firstLine="0"/>
        <w:contextualSpacing/>
        <w:jc w:val="center"/>
        <w:outlineLvl w:val="4"/>
        <w:rPr>
          <w:b/>
          <w:bCs/>
          <w:iCs/>
          <w:sz w:val="28"/>
        </w:rPr>
      </w:pPr>
      <w:r w:rsidRPr="0075673B">
        <w:rPr>
          <w:b/>
          <w:bCs/>
          <w:iCs/>
          <w:sz w:val="28"/>
        </w:rPr>
        <w:t>Ревизионная комиссия</w:t>
      </w:r>
      <w:r w:rsidRPr="0075673B">
        <w:rPr>
          <w:b/>
          <w:sz w:val="28"/>
        </w:rPr>
        <w:t xml:space="preserve"> </w:t>
      </w:r>
    </w:p>
    <w:p w:rsidR="00C649E3" w:rsidRPr="00C649E3" w:rsidRDefault="00C649E3" w:rsidP="00C649E3">
      <w:pPr>
        <w:spacing w:before="100" w:beforeAutospacing="1" w:after="100" w:afterAutospacing="1"/>
        <w:ind w:left="2138"/>
        <w:contextualSpacing/>
        <w:outlineLvl w:val="4"/>
        <w:rPr>
          <w:b/>
          <w:bCs/>
          <w:iCs/>
        </w:rPr>
      </w:pPr>
    </w:p>
    <w:p w:rsidR="00C649E3" w:rsidRPr="00C649E3" w:rsidRDefault="00C649E3" w:rsidP="00C649E3">
      <w:pPr>
        <w:tabs>
          <w:tab w:val="left" w:pos="993"/>
        </w:tabs>
        <w:ind w:firstLine="709"/>
        <w:jc w:val="both"/>
        <w:rPr>
          <w:spacing w:val="-2"/>
        </w:rPr>
      </w:pPr>
      <w:r w:rsidRPr="00C649E3">
        <w:rPr>
          <w:spacing w:val="-2"/>
        </w:rPr>
        <w:t>Для осуществления контроля над финансово-хозяйственной деятельностью Общества Общим собранием акционеров избирается Ревизионная комиссия Общества на срок до следующего годового Общего собрания акционеров.</w:t>
      </w:r>
    </w:p>
    <w:p w:rsidR="00C649E3" w:rsidRPr="00C649E3" w:rsidRDefault="00C649E3" w:rsidP="00C649E3">
      <w:pPr>
        <w:tabs>
          <w:tab w:val="left" w:pos="993"/>
        </w:tabs>
        <w:ind w:firstLine="709"/>
        <w:jc w:val="both"/>
      </w:pPr>
      <w:r w:rsidRPr="00C649E3">
        <w:rPr>
          <w:spacing w:val="-2"/>
        </w:rPr>
        <w:t xml:space="preserve">В своей деятельности </w:t>
      </w:r>
      <w:r w:rsidRPr="00C649E3">
        <w:rPr>
          <w:iCs/>
        </w:rPr>
        <w:t>Ревизионная комиссия</w:t>
      </w:r>
      <w:r w:rsidRPr="00C649E3">
        <w:rPr>
          <w:iCs/>
          <w:spacing w:val="-2"/>
        </w:rPr>
        <w:t xml:space="preserve"> </w:t>
      </w:r>
      <w:r w:rsidRPr="00C649E3">
        <w:rPr>
          <w:spacing w:val="-2"/>
        </w:rPr>
        <w:t>руководствуется Федеральным законом «Об акционерных обществах», иными нормативными правовыми актами Российской Федерации, Уставом Общества и Положением</w:t>
      </w:r>
      <w:r w:rsidRPr="00C649E3">
        <w:t xml:space="preserve"> о Ревизионной комиссии Общества.</w:t>
      </w:r>
    </w:p>
    <w:p w:rsidR="00C649E3" w:rsidRPr="00C649E3" w:rsidRDefault="00C649E3" w:rsidP="00C649E3">
      <w:pPr>
        <w:tabs>
          <w:tab w:val="left" w:pos="993"/>
          <w:tab w:val="left" w:pos="1134"/>
        </w:tabs>
        <w:ind w:firstLine="709"/>
        <w:jc w:val="both"/>
        <w:rPr>
          <w:snapToGrid w:val="0"/>
        </w:rPr>
      </w:pPr>
      <w:r w:rsidRPr="00C649E3">
        <w:rPr>
          <w:snapToGrid w:val="0"/>
        </w:rPr>
        <w:t>Перечень вопросов, отнесенных к компетенции Ревизионной комиссии, установлен   Федеральным законом «Об акционерных обществах» и ст. 20 Устава Общества.</w:t>
      </w:r>
    </w:p>
    <w:p w:rsidR="00C649E3" w:rsidRPr="00C649E3" w:rsidRDefault="00C649E3" w:rsidP="00C649E3">
      <w:pPr>
        <w:tabs>
          <w:tab w:val="left" w:pos="993"/>
        </w:tabs>
        <w:ind w:firstLine="709"/>
        <w:jc w:val="both"/>
      </w:pPr>
      <w:r w:rsidRPr="00C649E3">
        <w:t>Ревизионная комиссия Общества вправе, а в случае выявления серьезных нарушений в финансово-хозяйственной деятельности Общества, обязана потребовать созыва внеочередного Общего собрания акционеров Общества.</w:t>
      </w:r>
    </w:p>
    <w:p w:rsidR="00C649E3" w:rsidRPr="00C649E3" w:rsidRDefault="00C649E3" w:rsidP="00C649E3">
      <w:pPr>
        <w:tabs>
          <w:tab w:val="num" w:pos="709"/>
          <w:tab w:val="left" w:pos="993"/>
          <w:tab w:val="left" w:pos="1418"/>
        </w:tabs>
        <w:jc w:val="both"/>
        <w:rPr>
          <w:spacing w:val="-2"/>
        </w:rPr>
      </w:pPr>
      <w:r w:rsidRPr="00C649E3">
        <w:rPr>
          <w:spacing w:val="-2"/>
        </w:rPr>
        <w:tab/>
        <w:t>В соответствии со ст.20 Устава Общества количественный состав Ревизионной комиссии Общества составляет 5 (Пять) человек.</w:t>
      </w:r>
    </w:p>
    <w:p w:rsidR="00C649E3" w:rsidRPr="00C649E3" w:rsidRDefault="00C649E3" w:rsidP="00C649E3">
      <w:pPr>
        <w:tabs>
          <w:tab w:val="left" w:pos="993"/>
          <w:tab w:val="left" w:pos="1134"/>
          <w:tab w:val="num" w:pos="2265"/>
        </w:tabs>
        <w:ind w:firstLine="709"/>
        <w:jc w:val="both"/>
        <w:rPr>
          <w:snapToGrid w:val="0"/>
        </w:rPr>
      </w:pPr>
    </w:p>
    <w:p w:rsidR="00C649E3" w:rsidRPr="00C649E3" w:rsidRDefault="00C649E3" w:rsidP="00C649E3">
      <w:pPr>
        <w:tabs>
          <w:tab w:val="left" w:pos="993"/>
          <w:tab w:val="left" w:pos="1134"/>
          <w:tab w:val="num" w:pos="2265"/>
        </w:tabs>
        <w:ind w:firstLine="709"/>
        <w:jc w:val="both"/>
        <w:rPr>
          <w:snapToGrid w:val="0"/>
        </w:rPr>
      </w:pPr>
      <w:r w:rsidRPr="00C649E3">
        <w:rPr>
          <w:snapToGrid w:val="0"/>
        </w:rPr>
        <w:lastRenderedPageBreak/>
        <w:t>В 2014 г. действовало два состава Ревизионной комиссии.</w:t>
      </w:r>
    </w:p>
    <w:p w:rsidR="00C649E3" w:rsidRPr="00C649E3" w:rsidRDefault="00C649E3" w:rsidP="00C649E3">
      <w:pPr>
        <w:tabs>
          <w:tab w:val="left" w:pos="993"/>
          <w:tab w:val="left" w:pos="1134"/>
          <w:tab w:val="num" w:pos="2265"/>
        </w:tabs>
        <w:ind w:firstLine="709"/>
        <w:jc w:val="both"/>
        <w:rPr>
          <w:snapToGrid w:val="0"/>
        </w:rPr>
      </w:pPr>
    </w:p>
    <w:p w:rsidR="00C649E3" w:rsidRPr="00C649E3" w:rsidRDefault="00C649E3" w:rsidP="00C649E3">
      <w:pPr>
        <w:ind w:firstLine="709"/>
        <w:jc w:val="both"/>
        <w:rPr>
          <w:b/>
          <w:bCs/>
          <w:snapToGrid w:val="0"/>
        </w:rPr>
      </w:pPr>
      <w:r w:rsidRPr="00C649E3">
        <w:rPr>
          <w:b/>
          <w:bCs/>
          <w:iCs/>
        </w:rPr>
        <w:t xml:space="preserve">Персональный </w:t>
      </w:r>
      <w:r w:rsidRPr="00C649E3">
        <w:rPr>
          <w:b/>
          <w:bCs/>
        </w:rPr>
        <w:t>состав Ревизионной комиссии ОАО «Каббалкэнерго», избранный годовым Общим собранием акционеров Общества 07</w:t>
      </w:r>
      <w:r w:rsidRPr="00C649E3">
        <w:rPr>
          <w:b/>
          <w:bCs/>
          <w:snapToGrid w:val="0"/>
        </w:rPr>
        <w:t>.06.2013 (Протокол от 10.06.2013 № 40)</w:t>
      </w:r>
      <w:r w:rsidRPr="00C649E3">
        <w:rPr>
          <w:b/>
          <w:bCs/>
          <w:snapToGrid w:val="0"/>
          <w:vertAlign w:val="superscript"/>
        </w:rPr>
        <w:footnoteReference w:id="3"/>
      </w:r>
      <w:r w:rsidRPr="00C649E3">
        <w:rPr>
          <w:b/>
          <w:bCs/>
          <w:snapToGrid w:val="0"/>
        </w:rPr>
        <w:t>:</w:t>
      </w:r>
    </w:p>
    <w:tbl>
      <w:tblPr>
        <w:tblStyle w:val="51"/>
        <w:tblW w:w="0" w:type="auto"/>
        <w:tblLook w:val="04A0" w:firstRow="1" w:lastRow="0" w:firstColumn="1" w:lastColumn="0" w:noHBand="0" w:noVBand="1"/>
      </w:tblPr>
      <w:tblGrid>
        <w:gridCol w:w="675"/>
        <w:gridCol w:w="3969"/>
        <w:gridCol w:w="4820"/>
      </w:tblGrid>
      <w:tr w:rsidR="00C649E3" w:rsidRPr="00C649E3" w:rsidTr="00C649E3">
        <w:tc>
          <w:tcPr>
            <w:tcW w:w="675"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jc w:val="center"/>
              <w:rPr>
                <w:bCs/>
                <w:snapToGrid w:val="0"/>
                <w:lang w:eastAsia="en-US"/>
              </w:rPr>
            </w:pP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
                <w:bCs/>
                <w:lang w:eastAsia="en-US"/>
              </w:rPr>
            </w:pPr>
            <w:r w:rsidRPr="00C649E3">
              <w:rPr>
                <w:b/>
                <w:bCs/>
                <w:lang w:eastAsia="en-US"/>
              </w:rPr>
              <w:t>ФИО</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
                <w:bCs/>
                <w:snapToGrid w:val="0"/>
                <w:lang w:eastAsia="en-US"/>
              </w:rPr>
            </w:pPr>
            <w:r w:rsidRPr="00C649E3">
              <w:rPr>
                <w:b/>
                <w:bCs/>
                <w:snapToGrid w:val="0"/>
                <w:lang w:eastAsia="en-US"/>
              </w:rPr>
              <w:t>Должность на момент выдвижения</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1</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Кириллов Артем Николаевич</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Главный эксперт Департамента контроля и ревизий ОАО «ФСК ЕЭС»</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2</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Буняева Мария Викторовна</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Ведущий эксперт отдела ревизионных проверок и экспертиз Департамента внутреннего аудита и управления рисками ОАО «Холдинг МРСК»</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3</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Мешалова Галина Ивановна</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Главный эксперт отдела ревизионных проверок и экспертиз Департамента внутреннего аудита и управления рисками ОАО «Холдинг МРСК»</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4</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tabs>
                <w:tab w:val="left" w:pos="981"/>
              </w:tabs>
              <w:rPr>
                <w:bCs/>
                <w:noProof/>
                <w:lang w:eastAsia="en-US"/>
              </w:rPr>
            </w:pPr>
            <w:r w:rsidRPr="00C649E3">
              <w:rPr>
                <w:bCs/>
                <w:noProof/>
                <w:lang w:eastAsia="en-US"/>
              </w:rPr>
              <w:t>Князев Сергей  Юрьевич</w:t>
            </w:r>
            <w:r w:rsidRPr="00C649E3">
              <w:rPr>
                <w:bCs/>
                <w:lang w:eastAsia="en-US"/>
              </w:rPr>
              <w:t xml:space="preserve"> </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noProof/>
                <w:lang w:eastAsia="en-US"/>
              </w:rPr>
              <w:t>Начальник Департамента экономической безопасности  ОАО «ФСК ЕЭС»</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5</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Леушина Марина Андреевна</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both"/>
              <w:rPr>
                <w:b/>
                <w:bCs/>
                <w:snapToGrid w:val="0"/>
                <w:lang w:eastAsia="en-US"/>
              </w:rPr>
            </w:pPr>
            <w:r w:rsidRPr="00C649E3">
              <w:rPr>
                <w:bCs/>
                <w:lang w:eastAsia="en-US"/>
              </w:rPr>
              <w:t>Главный эксперт Департамента контроля и ревизий ОАО «ФСК ЕЭС»</w:t>
            </w:r>
          </w:p>
        </w:tc>
      </w:tr>
    </w:tbl>
    <w:p w:rsidR="00C649E3" w:rsidRDefault="00C649E3" w:rsidP="00C649E3">
      <w:pPr>
        <w:ind w:firstLine="709"/>
        <w:jc w:val="both"/>
        <w:rPr>
          <w:b/>
          <w:bCs/>
        </w:rPr>
      </w:pPr>
    </w:p>
    <w:p w:rsidR="00C649E3" w:rsidRPr="00C649E3" w:rsidRDefault="00C649E3" w:rsidP="00C649E3">
      <w:pPr>
        <w:ind w:firstLine="709"/>
        <w:jc w:val="both"/>
        <w:rPr>
          <w:b/>
          <w:bCs/>
        </w:rPr>
      </w:pPr>
    </w:p>
    <w:p w:rsidR="00C649E3" w:rsidRPr="00C649E3" w:rsidRDefault="00C649E3" w:rsidP="004668EF">
      <w:pPr>
        <w:ind w:firstLine="709"/>
        <w:jc w:val="both"/>
        <w:rPr>
          <w:b/>
          <w:bCs/>
          <w:snapToGrid w:val="0"/>
        </w:rPr>
      </w:pPr>
      <w:r w:rsidRPr="00C649E3">
        <w:rPr>
          <w:b/>
          <w:bCs/>
          <w:iCs/>
        </w:rPr>
        <w:t xml:space="preserve">Персональный </w:t>
      </w:r>
      <w:r w:rsidRPr="00C649E3">
        <w:rPr>
          <w:b/>
          <w:bCs/>
        </w:rPr>
        <w:t>состав Ревизионной комиссии ОАО «Каббалкэнерго», избранный годовым Общим собранием акционеров Общества 26</w:t>
      </w:r>
      <w:r w:rsidRPr="00C649E3">
        <w:rPr>
          <w:b/>
          <w:bCs/>
          <w:snapToGrid w:val="0"/>
        </w:rPr>
        <w:t>.06.2014</w:t>
      </w:r>
      <w:r w:rsidR="004668EF">
        <w:rPr>
          <w:b/>
          <w:bCs/>
          <w:snapToGrid w:val="0"/>
        </w:rPr>
        <w:t xml:space="preserve"> (Протокол от 01.07.2014 № 42):</w:t>
      </w:r>
    </w:p>
    <w:tbl>
      <w:tblPr>
        <w:tblStyle w:val="51"/>
        <w:tblW w:w="0" w:type="auto"/>
        <w:tblLook w:val="04A0" w:firstRow="1" w:lastRow="0" w:firstColumn="1" w:lastColumn="0" w:noHBand="0" w:noVBand="1"/>
      </w:tblPr>
      <w:tblGrid>
        <w:gridCol w:w="675"/>
        <w:gridCol w:w="3969"/>
        <w:gridCol w:w="4820"/>
      </w:tblGrid>
      <w:tr w:rsidR="00C649E3" w:rsidRPr="00C649E3" w:rsidTr="00C649E3">
        <w:tc>
          <w:tcPr>
            <w:tcW w:w="675"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jc w:val="center"/>
              <w:rPr>
                <w:bCs/>
                <w:snapToGrid w:val="0"/>
                <w:lang w:eastAsia="en-US"/>
              </w:rPr>
            </w:pP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
                <w:bCs/>
                <w:lang w:eastAsia="en-US"/>
              </w:rPr>
            </w:pPr>
            <w:r w:rsidRPr="00C649E3">
              <w:rPr>
                <w:b/>
                <w:bCs/>
                <w:lang w:eastAsia="en-US"/>
              </w:rPr>
              <w:t>ФИО</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
                <w:bCs/>
                <w:snapToGrid w:val="0"/>
                <w:lang w:eastAsia="en-US"/>
              </w:rPr>
            </w:pPr>
            <w:r w:rsidRPr="00C649E3">
              <w:rPr>
                <w:b/>
                <w:bCs/>
                <w:snapToGrid w:val="0"/>
                <w:lang w:eastAsia="en-US"/>
              </w:rPr>
              <w:t>Должность на момент избрания</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1</w:t>
            </w:r>
          </w:p>
        </w:tc>
        <w:tc>
          <w:tcPr>
            <w:tcW w:w="3969"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rPr>
                <w:bCs/>
                <w:lang w:eastAsia="en-US"/>
              </w:rPr>
            </w:pPr>
            <w:r w:rsidRPr="00C649E3">
              <w:rPr>
                <w:bCs/>
                <w:lang w:eastAsia="en-US"/>
              </w:rPr>
              <w:t>Гусева</w:t>
            </w:r>
          </w:p>
          <w:p w:rsidR="00C649E3" w:rsidRPr="00C649E3" w:rsidRDefault="00C649E3" w:rsidP="00C649E3">
            <w:pPr>
              <w:rPr>
                <w:bCs/>
                <w:lang w:eastAsia="en-US"/>
              </w:rPr>
            </w:pPr>
            <w:r w:rsidRPr="00C649E3">
              <w:rPr>
                <w:bCs/>
                <w:lang w:eastAsia="en-US"/>
              </w:rPr>
              <w:t xml:space="preserve"> Елена Юрьевна </w:t>
            </w:r>
          </w:p>
          <w:p w:rsidR="00C649E3" w:rsidRPr="00C649E3" w:rsidRDefault="00C649E3" w:rsidP="00C649E3">
            <w:pPr>
              <w:rPr>
                <w:bCs/>
                <w:lang w:eastAsia="en-US"/>
              </w:rPr>
            </w:pPr>
            <w:r w:rsidRPr="00C649E3">
              <w:rPr>
                <w:bCs/>
                <w:lang w:eastAsia="en-US"/>
              </w:rPr>
              <w:t xml:space="preserve">(Председатель </w:t>
            </w:r>
          </w:p>
          <w:p w:rsidR="00C649E3" w:rsidRPr="00C649E3" w:rsidRDefault="00C649E3" w:rsidP="00C649E3">
            <w:pPr>
              <w:rPr>
                <w:bCs/>
                <w:lang w:eastAsia="en-US"/>
              </w:rPr>
            </w:pPr>
            <w:r w:rsidRPr="00C649E3">
              <w:rPr>
                <w:bCs/>
                <w:lang w:eastAsia="en-US"/>
              </w:rPr>
              <w:t>Ревизионной комиссии)</w:t>
            </w:r>
          </w:p>
          <w:p w:rsidR="00C649E3" w:rsidRPr="00C649E3" w:rsidRDefault="00C649E3" w:rsidP="00C649E3">
            <w:pPr>
              <w:rPr>
                <w:lang w:eastAsia="en-US"/>
              </w:rPr>
            </w:pP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Ведущий эксперт Управления ревизионной деятельности и внутреннего аудита Департамента внутреннего аудита и контроля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2</w:t>
            </w:r>
          </w:p>
        </w:tc>
        <w:tc>
          <w:tcPr>
            <w:tcW w:w="3969"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rPr>
                <w:bCs/>
                <w:lang w:eastAsia="en-US"/>
              </w:rPr>
            </w:pPr>
            <w:r w:rsidRPr="00C649E3">
              <w:rPr>
                <w:bCs/>
                <w:lang w:eastAsia="en-US"/>
              </w:rPr>
              <w:t xml:space="preserve">Афаунова </w:t>
            </w:r>
          </w:p>
          <w:p w:rsidR="00C649E3" w:rsidRPr="00C649E3" w:rsidRDefault="00C649E3" w:rsidP="00C649E3">
            <w:pPr>
              <w:rPr>
                <w:bCs/>
                <w:lang w:eastAsia="en-US"/>
              </w:rPr>
            </w:pPr>
            <w:r w:rsidRPr="00C649E3">
              <w:rPr>
                <w:bCs/>
                <w:lang w:eastAsia="en-US"/>
              </w:rPr>
              <w:t>Елена Александровна</w:t>
            </w:r>
          </w:p>
          <w:p w:rsidR="00C649E3" w:rsidRPr="00C649E3" w:rsidRDefault="00C649E3" w:rsidP="00C649E3">
            <w:pPr>
              <w:rPr>
                <w:lang w:eastAsia="en-US"/>
              </w:rPr>
            </w:pP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Начальник отдела учета, отчетности, кадров и контроля ТУ Росимущества  в Кабардино-Балкарской Республике</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3</w:t>
            </w:r>
          </w:p>
        </w:tc>
        <w:tc>
          <w:tcPr>
            <w:tcW w:w="3969"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rPr>
                <w:lang w:eastAsia="en-US"/>
              </w:rPr>
            </w:pPr>
            <w:r w:rsidRPr="00C649E3">
              <w:rPr>
                <w:lang w:eastAsia="en-US"/>
              </w:rPr>
              <w:t>Кочкурова</w:t>
            </w:r>
          </w:p>
          <w:p w:rsidR="00C649E3" w:rsidRPr="00C649E3" w:rsidRDefault="00C649E3" w:rsidP="00C649E3">
            <w:pPr>
              <w:rPr>
                <w:lang w:eastAsia="en-US"/>
              </w:rPr>
            </w:pPr>
            <w:r w:rsidRPr="00C649E3">
              <w:rPr>
                <w:lang w:eastAsia="en-US"/>
              </w:rPr>
              <w:t xml:space="preserve"> Елена Витальевна </w:t>
            </w:r>
          </w:p>
          <w:p w:rsidR="00C649E3" w:rsidRPr="00C649E3" w:rsidRDefault="00C649E3" w:rsidP="00C649E3">
            <w:pPr>
              <w:rPr>
                <w:lang w:eastAsia="en-US"/>
              </w:rPr>
            </w:pP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Заместитель начальника Управления контроля и рисков Департамента внутреннего аудита и контроля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4</w:t>
            </w:r>
          </w:p>
        </w:tc>
        <w:tc>
          <w:tcPr>
            <w:tcW w:w="3969" w:type="dxa"/>
            <w:tcBorders>
              <w:top w:val="single" w:sz="4" w:space="0" w:color="auto"/>
              <w:left w:val="single" w:sz="4" w:space="0" w:color="auto"/>
              <w:bottom w:val="single" w:sz="4" w:space="0" w:color="auto"/>
              <w:right w:val="single" w:sz="4" w:space="0" w:color="auto"/>
            </w:tcBorders>
          </w:tcPr>
          <w:p w:rsidR="00C649E3" w:rsidRPr="00C649E3" w:rsidRDefault="00C649E3" w:rsidP="00C649E3">
            <w:pPr>
              <w:rPr>
                <w:bCs/>
                <w:lang w:eastAsia="en-US"/>
              </w:rPr>
            </w:pPr>
            <w:r w:rsidRPr="00C649E3">
              <w:rPr>
                <w:bCs/>
                <w:lang w:eastAsia="en-US"/>
              </w:rPr>
              <w:t xml:space="preserve">Буняева </w:t>
            </w:r>
          </w:p>
          <w:p w:rsidR="00C649E3" w:rsidRPr="00C649E3" w:rsidRDefault="00C649E3" w:rsidP="00C649E3">
            <w:pPr>
              <w:rPr>
                <w:bCs/>
                <w:lang w:eastAsia="en-US"/>
              </w:rPr>
            </w:pPr>
            <w:r w:rsidRPr="00C649E3">
              <w:rPr>
                <w:bCs/>
                <w:lang w:eastAsia="en-US"/>
              </w:rPr>
              <w:t xml:space="preserve">Мария Викторовна </w:t>
            </w:r>
          </w:p>
          <w:p w:rsidR="00C649E3" w:rsidRPr="00C649E3" w:rsidRDefault="00C649E3" w:rsidP="00C649E3">
            <w:pPr>
              <w:rPr>
                <w:lang w:eastAsia="en-US"/>
              </w:rPr>
            </w:pP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Ведущий эксперт Управления ревизионной деятельности и внутреннего аудита Департамента внутреннего аудита и контроля ОАО «Россети»</w:t>
            </w:r>
          </w:p>
        </w:tc>
      </w:tr>
      <w:tr w:rsidR="00C649E3" w:rsidRPr="00C649E3" w:rsidTr="00C649E3">
        <w:tc>
          <w:tcPr>
            <w:tcW w:w="675"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jc w:val="center"/>
              <w:rPr>
                <w:bCs/>
                <w:snapToGrid w:val="0"/>
                <w:lang w:eastAsia="en-US"/>
              </w:rPr>
            </w:pPr>
            <w:r w:rsidRPr="00C649E3">
              <w:rPr>
                <w:bCs/>
                <w:snapToGrid w:val="0"/>
                <w:lang w:eastAsia="en-US"/>
              </w:rPr>
              <w:t>5</w:t>
            </w:r>
          </w:p>
        </w:tc>
        <w:tc>
          <w:tcPr>
            <w:tcW w:w="3969"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Луковкина</w:t>
            </w:r>
          </w:p>
          <w:p w:rsidR="00C649E3" w:rsidRPr="00C649E3" w:rsidRDefault="00C649E3" w:rsidP="00C649E3">
            <w:pPr>
              <w:rPr>
                <w:lang w:eastAsia="en-US"/>
              </w:rPr>
            </w:pPr>
            <w:r w:rsidRPr="00C649E3">
              <w:rPr>
                <w:lang w:eastAsia="en-US"/>
              </w:rPr>
              <w:t xml:space="preserve"> Ирина Павловна</w:t>
            </w:r>
          </w:p>
          <w:p w:rsidR="00C649E3" w:rsidRPr="00C649E3" w:rsidRDefault="00C649E3" w:rsidP="00C649E3">
            <w:pPr>
              <w:rPr>
                <w:lang w:eastAsia="en-US"/>
              </w:rPr>
            </w:pPr>
            <w:r w:rsidRPr="00C649E3">
              <w:rPr>
                <w:lang w:eastAsia="en-US"/>
              </w:rPr>
              <w:t xml:space="preserve"> </w:t>
            </w:r>
          </w:p>
        </w:tc>
        <w:tc>
          <w:tcPr>
            <w:tcW w:w="4820" w:type="dxa"/>
            <w:tcBorders>
              <w:top w:val="single" w:sz="4" w:space="0" w:color="auto"/>
              <w:left w:val="single" w:sz="4" w:space="0" w:color="auto"/>
              <w:bottom w:val="single" w:sz="4" w:space="0" w:color="auto"/>
              <w:right w:val="single" w:sz="4" w:space="0" w:color="auto"/>
            </w:tcBorders>
            <w:hideMark/>
          </w:tcPr>
          <w:p w:rsidR="00C649E3" w:rsidRPr="00C649E3" w:rsidRDefault="00C649E3" w:rsidP="00C649E3">
            <w:pPr>
              <w:rPr>
                <w:lang w:eastAsia="en-US"/>
              </w:rPr>
            </w:pPr>
            <w:r w:rsidRPr="00C649E3">
              <w:rPr>
                <w:lang w:eastAsia="en-US"/>
              </w:rPr>
              <w:t>Главный эксперт Управления контроля и рисков Департамента внутреннего аудита и контроля ОАО «Россети»</w:t>
            </w:r>
          </w:p>
        </w:tc>
      </w:tr>
    </w:tbl>
    <w:p w:rsidR="00C649E3" w:rsidRPr="00C649E3" w:rsidRDefault="00C649E3" w:rsidP="00C649E3">
      <w:pPr>
        <w:ind w:firstLine="709"/>
        <w:jc w:val="both"/>
        <w:rPr>
          <w:b/>
          <w:bCs/>
        </w:rPr>
      </w:pPr>
    </w:p>
    <w:p w:rsidR="00C649E3" w:rsidRPr="00C649E3" w:rsidRDefault="00C649E3" w:rsidP="00C649E3">
      <w:pPr>
        <w:ind w:firstLine="709"/>
        <w:jc w:val="both"/>
        <w:rPr>
          <w:b/>
          <w:b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
                <w:lang w:eastAsia="x-none"/>
              </w:rPr>
            </w:pPr>
            <w:r w:rsidRPr="00C649E3">
              <w:rPr>
                <w:b/>
                <w:lang w:eastAsia="x-none"/>
              </w:rPr>
              <w:lastRenderedPageBreak/>
              <w:t>Гусева Елена Юрьевна</w:t>
            </w:r>
          </w:p>
          <w:p w:rsidR="00C649E3" w:rsidRPr="00C649E3" w:rsidRDefault="00C649E3" w:rsidP="00C649E3">
            <w:pPr>
              <w:jc w:val="both"/>
              <w:rPr>
                <w:bCs/>
                <w:iCs/>
                <w:lang w:eastAsia="en-US"/>
              </w:rPr>
            </w:pPr>
            <w:r w:rsidRPr="00C649E3">
              <w:rPr>
                <w:lang w:eastAsia="x-none"/>
              </w:rPr>
              <w:t>(Председатель Ревизионной комиссии)</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1970</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Высшее: Академия труда и социальных отношений, г.Москва, экономист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lang w:eastAsia="en-US"/>
              </w:rPr>
              <w:t>2009-2013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ОАО «МРСК Юга», Главный специалист Департамента внутреннего аудита и управления рисками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lang w:eastAsia="en-US"/>
              </w:rPr>
              <w:t>с 2013 г.</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«Россети», Ведущий эксперт Отдела инвестиционного аудита Управления ревизионной деятельности и внутреннего аудита Департамента внутреннего аудита и контроля</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bl>
    <w:p w:rsidR="00C649E3" w:rsidRPr="00C649E3" w:rsidRDefault="00C649E3" w:rsidP="00C649E3">
      <w:pPr>
        <w:ind w:firstLine="709"/>
        <w:jc w:val="both"/>
        <w:rPr>
          <w:b/>
          <w:b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lang w:eastAsia="en-US"/>
              </w:rPr>
              <w:t>Афаунова Елена Александровна</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bCs/>
                <w:iCs/>
                <w:lang w:eastAsia="en-US"/>
              </w:rPr>
              <w:t>1982</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lang w:eastAsia="en-US"/>
              </w:rPr>
            </w:pPr>
            <w:r w:rsidRPr="00C649E3">
              <w:rPr>
                <w:bCs/>
                <w:lang w:eastAsia="en-US"/>
              </w:rPr>
              <w:t xml:space="preserve">Высшее: КБГСХА, г. Нальчик, экономист </w:t>
            </w:r>
          </w:p>
          <w:p w:rsidR="00C649E3" w:rsidRPr="00C649E3" w:rsidRDefault="00C649E3" w:rsidP="00C649E3">
            <w:pPr>
              <w:jc w:val="both"/>
              <w:rPr>
                <w:bCs/>
                <w:iCs/>
                <w:lang w:eastAsia="en-US"/>
              </w:rPr>
            </w:pPr>
            <w:r w:rsidRPr="00C649E3">
              <w:rPr>
                <w:bCs/>
                <w:lang w:eastAsia="en-US"/>
              </w:rPr>
              <w:t xml:space="preserve">                МГИУ, г. Москва, юрист</w:t>
            </w:r>
            <w:r w:rsidRPr="00C649E3">
              <w:rPr>
                <w:bCs/>
                <w:lang w:eastAsia="en-US"/>
              </w:rPr>
              <w:tab/>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bCs/>
                <w:lang w:eastAsia="en-US"/>
              </w:rPr>
              <w:t>2009-2011</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Специалист 2 разряда отдела бухгалтерского учета, отчетности, кадров, делопроизводства и контроля ТУ Росимущества в Кабардино-Балкарской Республике</w:t>
            </w:r>
            <w:r w:rsidRPr="00C649E3">
              <w:rPr>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Cs/>
                <w:lang w:eastAsia="en-US"/>
              </w:rPr>
              <w:t>2011-2012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lang w:eastAsia="en-US"/>
              </w:rPr>
              <w:t>Специалист-эксперт отдела бухгалтерского учета, отчетности, кадров, делопроизводства и контроля ТУ Росимущества в Кабардино-Балкарской Республике</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Cs/>
                <w:lang w:eastAsia="en-US"/>
              </w:rPr>
              <w:t>2012-2012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Начальник отдела бухгалтерского учета, отчетности, кадров, делопроизводства и контроля ТУ Росимущества в Кабардино-Балкарской Республике</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Cs/>
                <w:lang w:eastAsia="en-US"/>
              </w:rPr>
              <w:t>С 2012 по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Начальник отдела учета, отчетности, кадров и контроля ТУ Росимущества в Кабардино-Балкарской Республике</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bl>
    <w:p w:rsidR="00C649E3" w:rsidRPr="00C649E3" w:rsidRDefault="00C649E3" w:rsidP="00C649E3">
      <w:pPr>
        <w:jc w:val="both"/>
        <w:rPr>
          <w:b/>
          <w:b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lang w:eastAsia="en-US"/>
              </w:rPr>
              <w:t xml:space="preserve">Кочкурова Елена Витальевна </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bCs/>
                <w:iCs/>
                <w:lang w:eastAsia="en-US"/>
              </w:rPr>
              <w:t>1978</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lang w:eastAsia="en-US"/>
              </w:rPr>
            </w:pPr>
            <w:r w:rsidRPr="00C649E3">
              <w:rPr>
                <w:bCs/>
                <w:lang w:eastAsia="en-US"/>
              </w:rPr>
              <w:t>Высшее: Дальневосточный государственный университет, Владивосток,  юрист</w:t>
            </w:r>
          </w:p>
          <w:p w:rsidR="00C649E3" w:rsidRPr="00C649E3" w:rsidRDefault="00C649E3" w:rsidP="00C649E3">
            <w:pPr>
              <w:jc w:val="both"/>
              <w:rPr>
                <w:bCs/>
                <w:iCs/>
                <w:lang w:eastAsia="en-US"/>
              </w:rPr>
            </w:pPr>
            <w:r w:rsidRPr="00C649E3">
              <w:rPr>
                <w:bCs/>
                <w:lang w:eastAsia="en-US"/>
              </w:rPr>
              <w:t>Академия народного хозяйства при Правительстве Российской Федерации, Москва, экономист.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bCs/>
                <w:lang w:eastAsia="en-US"/>
              </w:rPr>
              <w:t>2009-2013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ОАО "МРСК Центра и Северного Кавказа", начальник отдела внутреннего аудита Департамента внутреннего аудита и управления рисками</w:t>
            </w:r>
            <w:r w:rsidRPr="00C649E3">
              <w:rPr>
                <w:lang w:eastAsia="en-US"/>
              </w:rPr>
              <w:t>.</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Cs/>
                <w:lang w:eastAsia="en-US"/>
              </w:rPr>
              <w:t>2013-2014</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lang w:eastAsia="en-US"/>
              </w:rPr>
              <w:t xml:space="preserve">ОАО «Россети», </w:t>
            </w:r>
            <w:r w:rsidRPr="00C649E3">
              <w:rPr>
                <w:lang w:eastAsia="en-US"/>
              </w:rPr>
              <w:t>заместитель начальника Управления Департамента внутреннего аудита и контроля.</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bl>
    <w:p w:rsidR="00C649E3" w:rsidRPr="00C649E3" w:rsidRDefault="00C649E3" w:rsidP="00C649E3">
      <w:pPr>
        <w:ind w:firstLine="709"/>
        <w:jc w:val="both"/>
        <w:rPr>
          <w:b/>
          <w:bCs/>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bCs/>
                <w:lang w:eastAsia="en-US"/>
              </w:rPr>
              <w:lastRenderedPageBreak/>
              <w:t>Буняева Мария Викторовна</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bCs/>
                <w:iCs/>
                <w:lang w:eastAsia="en-US"/>
              </w:rPr>
              <w:t>1982</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 xml:space="preserve">высшее, </w:t>
            </w:r>
            <w:r w:rsidRPr="00C649E3">
              <w:rPr>
                <w:lang w:eastAsia="en-US"/>
              </w:rPr>
              <w:t>Кубанский государственный технологический университет (КубГТУ), бухгалтерский учет, анализ, аудит (экономист)</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bCs/>
                <w:lang w:eastAsia="en-US"/>
              </w:rPr>
              <w:t>2010-2010</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Cs/>
                <w:lang w:eastAsia="en-US"/>
              </w:rPr>
              <w:t xml:space="preserve">Администрация Краснодарского края, </w:t>
            </w:r>
            <w:r w:rsidRPr="00C649E3">
              <w:rPr>
                <w:lang w:eastAsia="en-US"/>
              </w:rPr>
              <w:t>Главный специалист-эксперт экспертно-аналитического отдела строительства олимпийских объектов Департамента строительства Краснодарского края</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bCs/>
                <w:lang w:eastAsia="en-US"/>
              </w:rPr>
              <w:t>2010-2012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Cs/>
                <w:lang w:eastAsia="en-US"/>
              </w:rPr>
              <w:t xml:space="preserve">ОАО «Кубаньэнерго», </w:t>
            </w:r>
            <w:r w:rsidRPr="00C649E3">
              <w:rPr>
                <w:lang w:eastAsia="en-US"/>
              </w:rPr>
              <w:t>Главный специалист отдела экономической безопасности Департамента безопасности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lang w:eastAsia="en-US"/>
              </w:rPr>
            </w:pPr>
            <w:r w:rsidRPr="00C649E3">
              <w:rPr>
                <w:bCs/>
                <w:lang w:eastAsia="en-US"/>
              </w:rPr>
              <w:t>2012-2012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lang w:eastAsia="en-US"/>
              </w:rPr>
            </w:pPr>
            <w:r w:rsidRPr="00C649E3">
              <w:rPr>
                <w:bCs/>
                <w:lang w:eastAsia="en-US"/>
              </w:rPr>
              <w:t xml:space="preserve">ОАО «Россети», </w:t>
            </w:r>
            <w:r w:rsidRPr="00C649E3">
              <w:rPr>
                <w:lang w:eastAsia="en-US"/>
              </w:rPr>
              <w:t>ведущий эксперт отдела экономической безопасности Департамента безопасности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lang w:eastAsia="en-US"/>
              </w:rPr>
            </w:pPr>
            <w:r w:rsidRPr="00C649E3">
              <w:rPr>
                <w:lang w:eastAsia="en-US"/>
              </w:rPr>
              <w:t>2012-2013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lang w:eastAsia="en-US"/>
              </w:rPr>
            </w:pPr>
            <w:r w:rsidRPr="00C649E3">
              <w:rPr>
                <w:lang w:eastAsia="en-US"/>
              </w:rPr>
              <w:t>ОАО «Россети», ведущий эксперт отдела общего аудита и экспертиз Департамента внутреннего аудита и Управления рисками</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lang w:eastAsia="en-US"/>
              </w:rPr>
            </w:pPr>
            <w:r w:rsidRPr="00C649E3">
              <w:rPr>
                <w:lang w:eastAsia="en-US"/>
              </w:rPr>
              <w:t>В настоящее время</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«Россети», ведущий эксперт отдела общего аудита и ревизионных проверок Управления ревизионной деятельности и внутреннего аудита Департамента внутреннего аудита и контроля</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bl>
    <w:p w:rsidR="00C649E3" w:rsidRPr="00C649E3" w:rsidRDefault="00C649E3" w:rsidP="00C649E3">
      <w:pPr>
        <w:jc w:val="both"/>
        <w:rPr>
          <w:b/>
          <w:lang w:eastAsia="x-none"/>
        </w:rPr>
      </w:pPr>
    </w:p>
    <w:tbl>
      <w:tblPr>
        <w:tblStyle w:val="51"/>
        <w:tblW w:w="0" w:type="auto"/>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1809"/>
        <w:gridCol w:w="7762"/>
      </w:tblGrid>
      <w:tr w:rsidR="00C649E3" w:rsidRPr="00C649E3" w:rsidTr="00C649E3">
        <w:trPr>
          <w:trHeight w:val="410"/>
        </w:trPr>
        <w:tc>
          <w:tcPr>
            <w:tcW w:w="9571" w:type="dxa"/>
            <w:gridSpan w:val="2"/>
            <w:tcBorders>
              <w:top w:val="nil"/>
              <w:left w:val="nil"/>
              <w:bottom w:val="single" w:sz="4" w:space="0" w:color="D9D9D9" w:themeColor="background1" w:themeShade="D9"/>
              <w:right w:val="nil"/>
            </w:tcBorders>
            <w:hideMark/>
          </w:tcPr>
          <w:p w:rsidR="00C649E3" w:rsidRPr="00C649E3" w:rsidRDefault="00C649E3" w:rsidP="00C649E3">
            <w:pPr>
              <w:jc w:val="both"/>
              <w:rPr>
                <w:bCs/>
                <w:iCs/>
                <w:lang w:eastAsia="en-US"/>
              </w:rPr>
            </w:pPr>
            <w:r w:rsidRPr="00C649E3">
              <w:rPr>
                <w:b/>
                <w:lang w:eastAsia="x-none"/>
              </w:rPr>
              <w:t>Луковкина Ирина Павловна</w:t>
            </w:r>
          </w:p>
        </w:tc>
      </w:tr>
      <w:tr w:rsidR="00C649E3" w:rsidRPr="00C649E3" w:rsidTr="00C649E3">
        <w:trPr>
          <w:trHeight w:val="410"/>
        </w:trPr>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b/>
                <w:bCs/>
                <w:iCs/>
                <w:lang w:eastAsia="en-US"/>
              </w:rPr>
              <w:t xml:space="preserve">Год  рождения: </w:t>
            </w:r>
            <w:r w:rsidRPr="00C649E3">
              <w:rPr>
                <w:lang w:eastAsia="en-US"/>
              </w:rPr>
              <w:t>1970</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Образование:</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Высшее: Пензенский политехнический институт, конструирование и производство электронно-вычислительной аппаратуры</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
                <w:bCs/>
                <w:iCs/>
                <w:lang w:eastAsia="en-US"/>
              </w:rPr>
            </w:pPr>
            <w:r w:rsidRPr="00C649E3">
              <w:rPr>
                <w:b/>
                <w:bCs/>
                <w:iCs/>
                <w:lang w:eastAsia="en-US"/>
              </w:rPr>
              <w:t>Должности за последние 5 лет:</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Cs/>
                <w:iCs/>
                <w:lang w:eastAsia="en-US"/>
              </w:rPr>
            </w:pPr>
            <w:r w:rsidRPr="00C649E3">
              <w:rPr>
                <w:lang w:eastAsia="en-US"/>
              </w:rPr>
              <w:t>2009-2012</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bCs/>
                <w:iCs/>
                <w:lang w:eastAsia="en-US"/>
              </w:rPr>
            </w:pPr>
            <w:r w:rsidRPr="00C649E3">
              <w:rPr>
                <w:lang w:eastAsia="en-US"/>
              </w:rPr>
              <w:t>Фонд содействия ипотечному кредитованию «Фонд «Газпромипотека», Главный экономист Отдела финансового планирования и управления ликвидностью</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b/>
                <w:bCs/>
                <w:lang w:eastAsia="en-US"/>
              </w:rPr>
            </w:pPr>
            <w:r w:rsidRPr="00C649E3">
              <w:rPr>
                <w:lang w:eastAsia="en-US"/>
              </w:rPr>
              <w:t>2012-2013</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«Московский узел связи энергетики», ведущий эксперт планово-финансового отдела Финансово-экономического Департамента, главный эксперт по внутреннему аудиту</w:t>
            </w:r>
          </w:p>
        </w:tc>
      </w:tr>
      <w:tr w:rsidR="00C649E3" w:rsidRPr="00C649E3" w:rsidTr="00C649E3">
        <w:tc>
          <w:tcPr>
            <w:tcW w:w="1809"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center"/>
              <w:rPr>
                <w:lang w:eastAsia="en-US"/>
              </w:rPr>
            </w:pPr>
            <w:r w:rsidRPr="00C649E3">
              <w:rPr>
                <w:lang w:eastAsia="en-US"/>
              </w:rPr>
              <w:t>с 2013 г.</w:t>
            </w:r>
          </w:p>
        </w:tc>
        <w:tc>
          <w:tcPr>
            <w:tcW w:w="7762"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lang w:eastAsia="en-US"/>
              </w:rPr>
              <w:t>ОАО «Россети», Начальник отдела методологии Управления контроля и рисков Департамента внутреннего аудита и контроля</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лица в уставном капитале эмитента, %:</w:t>
            </w:r>
            <w:r w:rsidRPr="00C649E3">
              <w:rPr>
                <w:lang w:eastAsia="en-US"/>
              </w:rPr>
              <w:t xml:space="preserve"> 0.</w:t>
            </w:r>
          </w:p>
        </w:tc>
      </w:tr>
      <w:tr w:rsidR="00C649E3" w:rsidRPr="00C649E3" w:rsidTr="00C649E3">
        <w:tc>
          <w:tcPr>
            <w:tcW w:w="9571" w:type="dxa"/>
            <w:gridSpan w:val="2"/>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hideMark/>
          </w:tcPr>
          <w:p w:rsidR="00C649E3" w:rsidRPr="00C649E3" w:rsidRDefault="00C649E3" w:rsidP="00C649E3">
            <w:pPr>
              <w:jc w:val="both"/>
              <w:rPr>
                <w:lang w:eastAsia="en-US"/>
              </w:rPr>
            </w:pPr>
            <w:r w:rsidRPr="00C649E3">
              <w:rPr>
                <w:b/>
                <w:lang w:eastAsia="en-US"/>
              </w:rPr>
              <w:t>Доля обыкновенных акций эмитента, принадлежащих данному лицу, %:</w:t>
            </w:r>
            <w:r w:rsidRPr="00C649E3">
              <w:rPr>
                <w:lang w:eastAsia="en-US"/>
              </w:rPr>
              <w:t xml:space="preserve"> 0.</w:t>
            </w:r>
          </w:p>
        </w:tc>
      </w:tr>
    </w:tbl>
    <w:p w:rsidR="00C649E3" w:rsidRPr="00C649E3" w:rsidRDefault="00C649E3" w:rsidP="00C649E3">
      <w:pPr>
        <w:ind w:firstLine="709"/>
        <w:jc w:val="both"/>
        <w:rPr>
          <w:b/>
          <w:bCs/>
          <w:highlight w:val="yellow"/>
        </w:rPr>
      </w:pPr>
    </w:p>
    <w:p w:rsidR="00C649E3" w:rsidRPr="00C649E3" w:rsidRDefault="00C649E3" w:rsidP="00C649E3">
      <w:pPr>
        <w:ind w:firstLine="709"/>
        <w:jc w:val="both"/>
      </w:pPr>
      <w:r w:rsidRPr="00C649E3">
        <w:rPr>
          <w:bCs/>
          <w:iCs/>
        </w:rPr>
        <w:t>В 2014 г. члены Ревизионной комиссии Общества не совершали сделок по приобретению и (или) отчуждению акций Общества.</w:t>
      </w:r>
    </w:p>
    <w:p w:rsidR="00C649E3" w:rsidRPr="00C649E3" w:rsidRDefault="00C649E3" w:rsidP="00C649E3">
      <w:pPr>
        <w:ind w:firstLine="709"/>
        <w:jc w:val="both"/>
      </w:pPr>
      <w:r w:rsidRPr="00C649E3">
        <w:t>Начисление и выплата вознаграждений членам Ревизионной комиссии Общества производится в соответствии с Положением о выплате членам Ревизионной комиссии ОАО «Каббалкэнерго» вознаграждений и компенсаций, утвержденным годовым Общим собранием акционеров Общества от 19.05.2008 (Протокол от 30.05.2008 №32).</w:t>
      </w:r>
    </w:p>
    <w:p w:rsidR="00C649E3" w:rsidRPr="00C649E3" w:rsidRDefault="00C649E3" w:rsidP="00C649E3">
      <w:pPr>
        <w:ind w:firstLine="709"/>
        <w:jc w:val="both"/>
        <w:outlineLvl w:val="4"/>
      </w:pPr>
      <w:r w:rsidRPr="00C649E3">
        <w:rPr>
          <w:iCs/>
        </w:rPr>
        <w:t xml:space="preserve">Суммарный размер вознаграждений, начисленных членам Ревизионной комиссии </w:t>
      </w:r>
      <w:r w:rsidRPr="00C649E3">
        <w:t>за 2014г., составляет 594 тыс. руб.</w:t>
      </w:r>
    </w:p>
    <w:p w:rsidR="00C649E3" w:rsidRPr="00DB0C29" w:rsidRDefault="00C649E3" w:rsidP="00C649E3">
      <w:pPr>
        <w:ind w:firstLine="709"/>
        <w:jc w:val="both"/>
        <w:outlineLvl w:val="4"/>
        <w:rPr>
          <w:sz w:val="28"/>
        </w:rPr>
      </w:pPr>
    </w:p>
    <w:p w:rsidR="00C649E3" w:rsidRPr="00DB0C29" w:rsidRDefault="00C649E3" w:rsidP="00AE0E97">
      <w:pPr>
        <w:keepNext/>
        <w:numPr>
          <w:ilvl w:val="2"/>
          <w:numId w:val="33"/>
        </w:numPr>
        <w:spacing w:line="360" w:lineRule="auto"/>
        <w:ind w:left="0" w:firstLine="0"/>
        <w:contextualSpacing/>
        <w:jc w:val="center"/>
        <w:outlineLvl w:val="0"/>
        <w:rPr>
          <w:b/>
          <w:sz w:val="28"/>
        </w:rPr>
      </w:pPr>
      <w:bookmarkStart w:id="9" w:name="_Toc321485393"/>
      <w:r w:rsidRPr="00DB0C29">
        <w:rPr>
          <w:b/>
          <w:sz w:val="28"/>
        </w:rPr>
        <w:t>Аудитор</w:t>
      </w:r>
      <w:bookmarkEnd w:id="9"/>
    </w:p>
    <w:p w:rsidR="00C649E3" w:rsidRPr="00C649E3" w:rsidRDefault="00C649E3" w:rsidP="00C649E3">
      <w:pPr>
        <w:widowControl w:val="0"/>
        <w:tabs>
          <w:tab w:val="left" w:pos="360"/>
          <w:tab w:val="left" w:pos="709"/>
          <w:tab w:val="left" w:pos="1134"/>
        </w:tabs>
        <w:ind w:firstLine="709"/>
        <w:jc w:val="both"/>
        <w:rPr>
          <w:snapToGrid w:val="0"/>
          <w:spacing w:val="-2"/>
        </w:rPr>
      </w:pPr>
      <w:r w:rsidRPr="00C649E3">
        <w:rPr>
          <w:snapToGrid w:val="0"/>
          <w:spacing w:val="-2"/>
        </w:rPr>
        <w:t xml:space="preserve">Аудитор Общества осуществляет проверку финансово-хозяйственной деятельности Общества в соответствии с требованиями законодательства Российской Федерации и на </w:t>
      </w:r>
      <w:r w:rsidRPr="00C649E3">
        <w:rPr>
          <w:snapToGrid w:val="0"/>
          <w:spacing w:val="-2"/>
        </w:rPr>
        <w:lastRenderedPageBreak/>
        <w:t>основании заключаемого с ним договора.</w:t>
      </w:r>
    </w:p>
    <w:p w:rsidR="00C649E3" w:rsidRPr="00C649E3" w:rsidRDefault="00C649E3" w:rsidP="00C649E3">
      <w:pPr>
        <w:widowControl w:val="0"/>
        <w:tabs>
          <w:tab w:val="left" w:pos="0"/>
          <w:tab w:val="left" w:pos="709"/>
          <w:tab w:val="left" w:pos="1134"/>
        </w:tabs>
        <w:ind w:firstLine="709"/>
        <w:jc w:val="both"/>
        <w:rPr>
          <w:spacing w:val="-2"/>
        </w:rPr>
      </w:pPr>
      <w:r w:rsidRPr="00C649E3">
        <w:rPr>
          <w:spacing w:val="-2"/>
        </w:rPr>
        <w:t>По итогам проверки финансово-хозяйственной деятельности Общества Ревизионная комиссия Общества, Аудитор Общества составляют заключение, в котором должны содержаться:</w:t>
      </w:r>
    </w:p>
    <w:p w:rsidR="00C649E3" w:rsidRPr="00C649E3" w:rsidRDefault="00C649E3" w:rsidP="00AE0E97">
      <w:pPr>
        <w:widowControl w:val="0"/>
        <w:numPr>
          <w:ilvl w:val="0"/>
          <w:numId w:val="34"/>
        </w:numPr>
        <w:tabs>
          <w:tab w:val="left" w:pos="360"/>
          <w:tab w:val="left" w:pos="709"/>
          <w:tab w:val="num" w:pos="851"/>
          <w:tab w:val="left" w:pos="1134"/>
          <w:tab w:val="left" w:pos="1418"/>
        </w:tabs>
        <w:ind w:firstLine="709"/>
        <w:jc w:val="both"/>
        <w:rPr>
          <w:snapToGrid w:val="0"/>
          <w:spacing w:val="-2"/>
        </w:rPr>
      </w:pPr>
      <w:r w:rsidRPr="00C649E3">
        <w:rPr>
          <w:snapToGrid w:val="0"/>
          <w:spacing w:val="-2"/>
        </w:rPr>
        <w:t>подтверждение достоверности данных, содержащихся в отчетах и иных финансовых документах Общества;</w:t>
      </w:r>
    </w:p>
    <w:p w:rsidR="00C649E3" w:rsidRPr="00C649E3" w:rsidRDefault="00C649E3" w:rsidP="00AE0E97">
      <w:pPr>
        <w:widowControl w:val="0"/>
        <w:numPr>
          <w:ilvl w:val="0"/>
          <w:numId w:val="34"/>
        </w:numPr>
        <w:tabs>
          <w:tab w:val="left" w:pos="360"/>
          <w:tab w:val="left" w:pos="709"/>
          <w:tab w:val="num" w:pos="851"/>
          <w:tab w:val="left" w:pos="1134"/>
          <w:tab w:val="left" w:pos="1418"/>
        </w:tabs>
        <w:ind w:firstLine="709"/>
        <w:jc w:val="both"/>
        <w:rPr>
          <w:snapToGrid w:val="0"/>
          <w:spacing w:val="-2"/>
        </w:rPr>
      </w:pPr>
      <w:r w:rsidRPr="00C649E3">
        <w:rPr>
          <w:snapToGrid w:val="0"/>
          <w:spacing w:val="-2"/>
        </w:rPr>
        <w:t>информация о фактах нарушения Обществом установленных правовыми актами Российской Федерации порядка ведения бухгалтерского учета и представления финансовой отчетности, а также требований правовых актов Российской Федерации при осуществлении Обществом финансово-хозяйственной деятельности.</w:t>
      </w:r>
    </w:p>
    <w:p w:rsidR="00C649E3" w:rsidRPr="00C649E3" w:rsidRDefault="00C649E3" w:rsidP="00C649E3">
      <w:pPr>
        <w:tabs>
          <w:tab w:val="left" w:pos="709"/>
          <w:tab w:val="left" w:pos="1418"/>
        </w:tabs>
        <w:ind w:firstLine="709"/>
        <w:jc w:val="both"/>
        <w:rPr>
          <w:spacing w:val="-2"/>
        </w:rPr>
      </w:pPr>
      <w:r w:rsidRPr="00C649E3">
        <w:rPr>
          <w:spacing w:val="-2"/>
        </w:rPr>
        <w:t>Порядок и сроки составления заключения по итогам проверки финансово-хозяйственной деятельности Общества определяются правовыми актами Российской Федерации и внутренними документами Общества.</w:t>
      </w:r>
    </w:p>
    <w:p w:rsidR="00C649E3" w:rsidRPr="00C649E3" w:rsidRDefault="00C649E3" w:rsidP="00C649E3">
      <w:pPr>
        <w:ind w:firstLine="709"/>
        <w:jc w:val="both"/>
      </w:pPr>
      <w:r w:rsidRPr="00C649E3">
        <w:t>Решением годового Общего собрания акционеров Общества от 26.06.2014 (Протокол от 01.07.2014 № 42) аудитором ОАО «Каббалкэнерго» для проведения аудиторской проверки финансовой отчетности  за 2014 г. утверждено ООО «АДК-аудит» (является членом саморегулируемой организации аудиторов – Некоммерческого партнерство «Институт Профессиональных Аудиторов» (НП «ИПАР»), включенной в единый государственный реестр саморегулируемых организаций  аудиторов), расположенный по адресу: РФ, г.Москва, улица Дербеневская, д.11.</w:t>
      </w:r>
    </w:p>
    <w:p w:rsidR="00C649E3" w:rsidRPr="00C649E3" w:rsidRDefault="00C649E3" w:rsidP="00C649E3">
      <w:pPr>
        <w:ind w:firstLine="709"/>
        <w:jc w:val="both"/>
      </w:pPr>
      <w:r w:rsidRPr="00C649E3">
        <w:t>Размер вознаграждения аудитора одобрен решением Совета директоров                             ОАО «Каббалкэнерго» от 10.09.2014  (Протокол от 12.09.2014 № 141) и составляет                  273 350 (Двести семьдесят три тысячи триста пятьдесят) руб., НДС не облагается.</w:t>
      </w:r>
    </w:p>
    <w:p w:rsidR="00C649E3" w:rsidRPr="00C649E3" w:rsidRDefault="00C649E3" w:rsidP="00C649E3">
      <w:pPr>
        <w:ind w:firstLine="709"/>
        <w:jc w:val="both"/>
      </w:pPr>
      <w:r w:rsidRPr="00C649E3">
        <w:rPr>
          <w:bCs/>
          <w:iCs/>
        </w:rPr>
        <w:t>В 2014 г. ООО «АДК-аудит» не оказывались Обществу н</w:t>
      </w:r>
      <w:r w:rsidRPr="00C649E3">
        <w:t>еаудиторские услуги. Отсроченные и просроченные платежи за оказанные аудитором услуги отсутствуют.</w:t>
      </w:r>
    </w:p>
    <w:p w:rsidR="00C649E3" w:rsidRPr="00C649E3" w:rsidRDefault="00C649E3" w:rsidP="00C649E3">
      <w:pPr>
        <w:jc w:val="center"/>
      </w:pPr>
    </w:p>
    <w:p w:rsidR="00C649E3" w:rsidRPr="00DB0C29" w:rsidRDefault="00C649E3" w:rsidP="00AE0E97">
      <w:pPr>
        <w:keepNext/>
        <w:numPr>
          <w:ilvl w:val="2"/>
          <w:numId w:val="33"/>
        </w:numPr>
        <w:spacing w:after="240" w:line="360" w:lineRule="auto"/>
        <w:ind w:left="0" w:firstLine="0"/>
        <w:contextualSpacing/>
        <w:jc w:val="center"/>
        <w:outlineLvl w:val="0"/>
        <w:rPr>
          <w:b/>
          <w:sz w:val="28"/>
        </w:rPr>
      </w:pPr>
      <w:bookmarkStart w:id="10" w:name="_Toc293483412"/>
      <w:bookmarkStart w:id="11" w:name="_Toc321485394"/>
      <w:r w:rsidRPr="00DB0C29">
        <w:rPr>
          <w:b/>
          <w:sz w:val="28"/>
        </w:rPr>
        <w:t>Регистратор</w:t>
      </w:r>
      <w:bookmarkEnd w:id="10"/>
      <w:bookmarkEnd w:id="11"/>
    </w:p>
    <w:p w:rsidR="00C649E3" w:rsidRPr="00C649E3" w:rsidRDefault="00C649E3" w:rsidP="00C649E3">
      <w:pPr>
        <w:ind w:firstLine="709"/>
        <w:jc w:val="both"/>
      </w:pPr>
      <w:r w:rsidRPr="00C649E3">
        <w:t>Решением Совета директоров ОАО «Каббалкэнерго» от 25.10.2006 (Протокол №18) утвержден регистратор Общества – Закрытое акционерное общество «Регистраторское общество «СТАТУС». В соответствии с нормами действующего законодательства с 01.09.2014 наименование регистратора изменено на следующее: Акционерное общество «Регистраторское общество «СТАТУС».</w:t>
      </w:r>
    </w:p>
    <w:p w:rsidR="00C649E3" w:rsidRPr="00C649E3" w:rsidRDefault="00C649E3" w:rsidP="00C649E3">
      <w:pPr>
        <w:tabs>
          <w:tab w:val="left" w:pos="-3240"/>
          <w:tab w:val="left" w:pos="-3060"/>
        </w:tabs>
        <w:ind w:firstLine="709"/>
        <w:jc w:val="both"/>
      </w:pPr>
      <w:r w:rsidRPr="00C649E3">
        <w:t>Место нахождения: Россия, 109544, г. Москва, ул. Новорогожская, д. 32, стр. 1</w:t>
      </w:r>
    </w:p>
    <w:p w:rsidR="00C649E3" w:rsidRPr="00C649E3" w:rsidRDefault="00C649E3" w:rsidP="00C649E3">
      <w:pPr>
        <w:tabs>
          <w:tab w:val="left" w:pos="-3240"/>
          <w:tab w:val="left" w:pos="-3060"/>
        </w:tabs>
        <w:ind w:firstLine="709"/>
        <w:jc w:val="both"/>
      </w:pPr>
      <w:r w:rsidRPr="00C649E3">
        <w:t>ИНН: 7707179242 ОГРН: 1027700003924</w:t>
      </w:r>
    </w:p>
    <w:p w:rsidR="00C649E3" w:rsidRPr="00C649E3" w:rsidRDefault="00C649E3" w:rsidP="00C649E3">
      <w:pPr>
        <w:tabs>
          <w:tab w:val="left" w:pos="-3240"/>
          <w:tab w:val="left" w:pos="-3060"/>
        </w:tabs>
        <w:ind w:firstLine="709"/>
        <w:jc w:val="both"/>
      </w:pPr>
      <w:r w:rsidRPr="00C649E3">
        <w:t>Телефон, факс: (495) 974-83-45, 974-83-50.</w:t>
      </w:r>
    </w:p>
    <w:p w:rsidR="00C649E3" w:rsidRPr="00C649E3" w:rsidRDefault="00C649E3" w:rsidP="00C649E3">
      <w:pPr>
        <w:tabs>
          <w:tab w:val="left" w:pos="-3240"/>
          <w:tab w:val="left" w:pos="-3060"/>
        </w:tabs>
        <w:ind w:firstLine="709"/>
        <w:jc w:val="both"/>
      </w:pPr>
      <w:r w:rsidRPr="00C649E3">
        <w:t xml:space="preserve">E-mail: </w:t>
      </w:r>
      <w:hyperlink r:id="rId45" w:history="1">
        <w:r w:rsidRPr="00C649E3">
          <w:rPr>
            <w:color w:val="0000FF"/>
            <w:u w:val="single"/>
          </w:rPr>
          <w:t>office@rostatus.ru</w:t>
        </w:r>
      </w:hyperlink>
    </w:p>
    <w:p w:rsidR="00C649E3" w:rsidRPr="00C649E3" w:rsidRDefault="00C649E3" w:rsidP="00C649E3">
      <w:pPr>
        <w:tabs>
          <w:tab w:val="left" w:pos="-3240"/>
          <w:tab w:val="left" w:pos="-3060"/>
        </w:tabs>
        <w:ind w:firstLine="709"/>
        <w:jc w:val="both"/>
      </w:pPr>
      <w:r w:rsidRPr="00C649E3">
        <w:t xml:space="preserve">Адрес страницы в сети Интернет: </w:t>
      </w:r>
      <w:hyperlink r:id="rId46" w:history="1">
        <w:r w:rsidRPr="00C649E3">
          <w:rPr>
            <w:color w:val="0000FF"/>
            <w:u w:val="single"/>
          </w:rPr>
          <w:t>http://www.rostatus.ru</w:t>
        </w:r>
      </w:hyperlink>
      <w:r w:rsidRPr="00C649E3">
        <w:t>.</w:t>
      </w:r>
    </w:p>
    <w:p w:rsidR="00C649E3" w:rsidRPr="00C649E3" w:rsidRDefault="00C649E3" w:rsidP="00C649E3">
      <w:pPr>
        <w:tabs>
          <w:tab w:val="left" w:pos="-3240"/>
          <w:tab w:val="left" w:pos="-3060"/>
        </w:tabs>
        <w:ind w:firstLine="709"/>
        <w:jc w:val="both"/>
      </w:pPr>
      <w:r w:rsidRPr="00C649E3">
        <w:t>Данные о лицензии на осуществление деятельности по ведению реестра владельцев ценных бумаг:</w:t>
      </w:r>
    </w:p>
    <w:p w:rsidR="00C649E3" w:rsidRPr="00C649E3" w:rsidRDefault="00C649E3" w:rsidP="00C649E3">
      <w:pPr>
        <w:tabs>
          <w:tab w:val="left" w:pos="-3240"/>
          <w:tab w:val="left" w:pos="-3060"/>
        </w:tabs>
        <w:ind w:firstLine="709"/>
        <w:jc w:val="both"/>
      </w:pPr>
      <w:r w:rsidRPr="00C649E3">
        <w:t>номер: 10-000-1-00304</w:t>
      </w:r>
    </w:p>
    <w:p w:rsidR="00C649E3" w:rsidRPr="00C649E3" w:rsidRDefault="00C649E3" w:rsidP="00C649E3">
      <w:pPr>
        <w:tabs>
          <w:tab w:val="left" w:pos="-3240"/>
          <w:tab w:val="left" w:pos="-3060"/>
        </w:tabs>
        <w:ind w:firstLine="709"/>
        <w:jc w:val="both"/>
      </w:pPr>
      <w:r w:rsidRPr="00C649E3">
        <w:t>дата выдачи: 12.03.2004</w:t>
      </w:r>
    </w:p>
    <w:p w:rsidR="00C649E3" w:rsidRPr="00C649E3" w:rsidRDefault="00C649E3" w:rsidP="00C649E3">
      <w:pPr>
        <w:tabs>
          <w:tab w:val="left" w:pos="-3240"/>
          <w:tab w:val="left" w:pos="-3060"/>
        </w:tabs>
        <w:ind w:firstLine="709"/>
        <w:jc w:val="both"/>
      </w:pPr>
      <w:r w:rsidRPr="00C649E3">
        <w:t>дата окончания действия: бессрочная</w:t>
      </w:r>
    </w:p>
    <w:p w:rsidR="00C649E3" w:rsidRPr="00C649E3" w:rsidRDefault="00C649E3" w:rsidP="00C649E3">
      <w:pPr>
        <w:tabs>
          <w:tab w:val="left" w:pos="-3240"/>
          <w:tab w:val="left" w:pos="-3060"/>
        </w:tabs>
        <w:ind w:firstLine="709"/>
        <w:jc w:val="both"/>
      </w:pPr>
      <w:r w:rsidRPr="00C649E3">
        <w:t xml:space="preserve">наименование органа, выдавшего лицензию: ФКЦБ (ФСФР) России. </w:t>
      </w:r>
    </w:p>
    <w:p w:rsidR="00C649E3" w:rsidRPr="00C649E3" w:rsidRDefault="00C649E3" w:rsidP="00C649E3">
      <w:pPr>
        <w:tabs>
          <w:tab w:val="left" w:pos="-3240"/>
          <w:tab w:val="left" w:pos="-3060"/>
        </w:tabs>
        <w:ind w:firstLine="709"/>
        <w:jc w:val="both"/>
      </w:pPr>
      <w:r w:rsidRPr="00C649E3">
        <w:t>Ведение и хранение реестра по эмиссионным ценным бумагам Общества осуществляется Регистратором на основании Договора от 11.12.2006 №179-06.</w:t>
      </w:r>
    </w:p>
    <w:p w:rsidR="00C649E3" w:rsidRPr="00C649E3" w:rsidRDefault="00C649E3" w:rsidP="00C649E3">
      <w:pPr>
        <w:tabs>
          <w:tab w:val="left" w:pos="-3240"/>
          <w:tab w:val="left" w:pos="-3060"/>
        </w:tabs>
        <w:ind w:firstLine="709"/>
        <w:jc w:val="both"/>
      </w:pPr>
      <w:r w:rsidRPr="00C649E3">
        <w:t>Дата, с которой регистратор осуществляет ведение и хранение реестра владельцев ценных бумаг Общества: 16.05.2007.</w:t>
      </w:r>
    </w:p>
    <w:p w:rsidR="002869A0" w:rsidRDefault="002869A0" w:rsidP="00B56753">
      <w:pPr>
        <w:rPr>
          <w:b/>
          <w:sz w:val="28"/>
        </w:rPr>
      </w:pPr>
      <w:bookmarkStart w:id="12" w:name="_Toc321485397"/>
    </w:p>
    <w:p w:rsidR="00DB0C29" w:rsidRDefault="00DB0C29" w:rsidP="00C649E3">
      <w:pPr>
        <w:jc w:val="center"/>
        <w:rPr>
          <w:b/>
          <w:sz w:val="28"/>
        </w:rPr>
      </w:pPr>
    </w:p>
    <w:p w:rsidR="00DB0C29" w:rsidRDefault="00DB0C29" w:rsidP="00C649E3">
      <w:pPr>
        <w:jc w:val="center"/>
        <w:rPr>
          <w:b/>
          <w:sz w:val="28"/>
        </w:rPr>
      </w:pPr>
    </w:p>
    <w:p w:rsidR="00C649E3" w:rsidRPr="00DB0C29" w:rsidRDefault="00C649E3" w:rsidP="00C649E3">
      <w:pPr>
        <w:jc w:val="center"/>
        <w:rPr>
          <w:sz w:val="28"/>
        </w:rPr>
      </w:pPr>
      <w:r w:rsidRPr="00DB0C29">
        <w:rPr>
          <w:b/>
          <w:sz w:val="28"/>
        </w:rPr>
        <w:lastRenderedPageBreak/>
        <w:t>5.3. Акционерный капитал</w:t>
      </w:r>
      <w:bookmarkEnd w:id="12"/>
    </w:p>
    <w:p w:rsidR="00C649E3" w:rsidRPr="00C649E3" w:rsidRDefault="00C649E3" w:rsidP="00C649E3">
      <w:pPr>
        <w:jc w:val="center"/>
        <w:rPr>
          <w:b/>
        </w:rPr>
      </w:pPr>
    </w:p>
    <w:p w:rsidR="00C649E3" w:rsidRPr="00C649E3" w:rsidRDefault="00C649E3" w:rsidP="00EA39CE">
      <w:pPr>
        <w:ind w:firstLine="709"/>
        <w:rPr>
          <w:b/>
        </w:rPr>
      </w:pPr>
      <w:r w:rsidRPr="00C649E3">
        <w:rPr>
          <w:b/>
        </w:rPr>
        <w:t>Общие сведения о ценных бумагах</w:t>
      </w:r>
    </w:p>
    <w:p w:rsidR="00C649E3" w:rsidRPr="00C649E3" w:rsidRDefault="00C649E3" w:rsidP="00C649E3">
      <w:pPr>
        <w:jc w:val="center"/>
        <w:rPr>
          <w:b/>
        </w:rPr>
      </w:pPr>
    </w:p>
    <w:p w:rsidR="00C649E3" w:rsidRPr="00C649E3" w:rsidRDefault="00C649E3" w:rsidP="00C649E3">
      <w:pPr>
        <w:ind w:firstLine="709"/>
        <w:jc w:val="both"/>
      </w:pPr>
      <w:r w:rsidRPr="00C649E3">
        <w:t>Уставный капитал Общества составляет 582 997 484 (Пятьсот восемьдесят два миллиона девятьсот девяносто семь тысяч четыреста восемьдесят четыре) рубля.</w:t>
      </w:r>
    </w:p>
    <w:p w:rsidR="00C649E3" w:rsidRPr="00C649E3" w:rsidRDefault="00C649E3" w:rsidP="00C649E3">
      <w:pPr>
        <w:ind w:firstLine="709"/>
        <w:jc w:val="both"/>
      </w:pPr>
      <w:r w:rsidRPr="00C649E3">
        <w:t>Обществом размещены следующие категории именных бездокументарных акций одинаковой номинальной стоимостью 1 (Один) рубль каждая:</w:t>
      </w:r>
    </w:p>
    <w:p w:rsidR="00C649E3" w:rsidRPr="00C649E3" w:rsidRDefault="00C649E3" w:rsidP="00C649E3">
      <w:pPr>
        <w:ind w:firstLine="709"/>
        <w:jc w:val="both"/>
      </w:pPr>
      <w:r w:rsidRPr="00C649E3">
        <w:t>1) привилегированные акции типа А:</w:t>
      </w:r>
    </w:p>
    <w:p w:rsidR="00C649E3" w:rsidRPr="00C649E3" w:rsidRDefault="00C649E3" w:rsidP="00C649E3">
      <w:pPr>
        <w:ind w:firstLine="709"/>
        <w:jc w:val="both"/>
      </w:pPr>
      <w:r w:rsidRPr="00C649E3">
        <w:t>- 97 577 550 (Девяносто семь миллионов пятьсот семьдесят семь тысяч пятьсот пятьдесят) штук на общую сумму по номинальной стоимости 97 577 550 (Девяносто семь миллионов пятьсот семьдесят семь тысяч пятьсот пятьдесят) рублей;</w:t>
      </w:r>
    </w:p>
    <w:p w:rsidR="00C649E3" w:rsidRPr="00C649E3" w:rsidRDefault="00C649E3" w:rsidP="00C649E3">
      <w:pPr>
        <w:ind w:firstLine="709"/>
        <w:jc w:val="both"/>
      </w:pPr>
      <w:r w:rsidRPr="00C649E3">
        <w:t>2) обыкновенные акции:</w:t>
      </w:r>
    </w:p>
    <w:p w:rsidR="00C649E3" w:rsidRPr="00C649E3" w:rsidRDefault="00C649E3" w:rsidP="00C649E3">
      <w:pPr>
        <w:ind w:firstLine="709"/>
        <w:jc w:val="both"/>
      </w:pPr>
      <w:r w:rsidRPr="00C649E3">
        <w:t>- 485 419 934 (Четыреста восемьдесят пять миллионов четыреста девятнадцать тысяч девятьсот тридцать четыре) штуки на общую сумму по номинальной стоимости 485 419 934 (Четыреста восемьдесят пять миллионов четыреста девятнадцать тысяч девятьсот тридцать четыре) рубля.</w:t>
      </w:r>
    </w:p>
    <w:p w:rsidR="00C649E3" w:rsidRPr="00C649E3" w:rsidRDefault="00C649E3" w:rsidP="00EA39CE">
      <w:pPr>
        <w:spacing w:before="100" w:beforeAutospacing="1" w:after="100" w:afterAutospacing="1"/>
        <w:ind w:firstLine="709"/>
        <w:rPr>
          <w:b/>
        </w:rPr>
      </w:pPr>
      <w:r w:rsidRPr="00C649E3">
        <w:rPr>
          <w:b/>
        </w:rPr>
        <w:t>История эмиссионной деятельности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1493"/>
        <w:gridCol w:w="2031"/>
        <w:gridCol w:w="1947"/>
        <w:gridCol w:w="1015"/>
        <w:gridCol w:w="1600"/>
      </w:tblGrid>
      <w:tr w:rsidR="00C649E3" w:rsidRPr="00C649E3" w:rsidTr="00C649E3">
        <w:trPr>
          <w:trHeight w:val="1248"/>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Событие</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Дата регистрации выпуска ценных бумаг</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Государственный регистрационный номер выпуска ценных бумаг (акций)</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Дата государственной регистрации отчета об итогах выпуска акций</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Кол-во акций (шт.)</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Номинальная стоимость, руб.</w:t>
            </w:r>
          </w:p>
        </w:tc>
      </w:tr>
      <w:tr w:rsidR="00C649E3" w:rsidRPr="00C649E3" w:rsidTr="00C649E3">
        <w:trPr>
          <w:trHeight w:val="374"/>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t>Категория акций: обыкновенные</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1-й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bCs/>
                <w:iCs/>
                <w:lang w:eastAsia="en-US"/>
              </w:rPr>
              <w:t>13.01.1993</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04-1П-5</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27.03.1996</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103 520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2-й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16.11.1995</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04-1-285</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09.06.1997</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45 409 806</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3-й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bCs/>
                <w:iCs/>
                <w:lang w:eastAsia="en-US"/>
              </w:rPr>
              <w:t xml:space="preserve">28.12.1998 </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1-03-00233-А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19.04.1999</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364 106 608</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4-й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06.12.1999</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1-04-00233-А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10.05.2000</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10 000 000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5-й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13.12.2000</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1-05-00233-А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28.03.2001</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15 000 000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lastRenderedPageBreak/>
              <w:t>эмиссия ценных бумаг</w:t>
            </w:r>
          </w:p>
          <w:p w:rsidR="00C649E3" w:rsidRPr="00C649E3" w:rsidRDefault="00C649E3" w:rsidP="00C649E3">
            <w:pPr>
              <w:spacing w:line="276" w:lineRule="auto"/>
              <w:rPr>
                <w:lang w:eastAsia="en-US"/>
              </w:rPr>
            </w:pPr>
            <w:r w:rsidRPr="00C649E3">
              <w:rPr>
                <w:lang w:eastAsia="en-US"/>
              </w:rPr>
              <w:t>6-й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01.08.2001</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1-06-00233А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20.11.2001</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40 800 000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7-й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18.02.2003</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1-07-00233А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29.07.2003</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10 000 000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5000" w:type="pct"/>
            <w:gridSpan w:val="6"/>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Категория акций: привилегированные (тип А)</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1-й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bCs/>
                <w:iCs/>
                <w:lang w:eastAsia="en-US"/>
              </w:rPr>
              <w:t>13.01.1993</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04-1П-5</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27.03.1996</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24 660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2-й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16.11.1995</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04-1-285</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09.06.1997</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10 817 290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r w:rsidR="00C649E3" w:rsidRPr="00C649E3" w:rsidTr="00C649E3">
        <w:trPr>
          <w:tblHeader/>
          <w:jc w:val="center"/>
        </w:trPr>
        <w:tc>
          <w:tcPr>
            <w:tcW w:w="101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lang w:eastAsia="en-US"/>
              </w:rPr>
            </w:pPr>
            <w:r w:rsidRPr="00C649E3">
              <w:rPr>
                <w:lang w:eastAsia="en-US"/>
              </w:rPr>
              <w:t>эмиссия ценных бумаг</w:t>
            </w:r>
          </w:p>
          <w:p w:rsidR="00C649E3" w:rsidRPr="00C649E3" w:rsidRDefault="00C649E3" w:rsidP="00C649E3">
            <w:pPr>
              <w:spacing w:line="276" w:lineRule="auto"/>
              <w:rPr>
                <w:lang w:eastAsia="en-US"/>
              </w:rPr>
            </w:pPr>
            <w:r w:rsidRPr="00C649E3">
              <w:rPr>
                <w:lang w:eastAsia="en-US"/>
              </w:rPr>
              <w:t>3-й выпуск</w:t>
            </w:r>
          </w:p>
        </w:tc>
        <w:tc>
          <w:tcPr>
            <w:tcW w:w="738"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bCs/>
                <w:iCs/>
                <w:lang w:eastAsia="en-US"/>
              </w:rPr>
              <w:t>28.12.1998</w:t>
            </w:r>
          </w:p>
        </w:tc>
        <w:tc>
          <w:tcPr>
            <w:tcW w:w="903"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2-03-00233-А</w:t>
            </w:r>
          </w:p>
        </w:tc>
        <w:tc>
          <w:tcPr>
            <w:tcW w:w="866"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19.04.1999</w:t>
            </w:r>
          </w:p>
        </w:tc>
        <w:tc>
          <w:tcPr>
            <w:tcW w:w="717"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86 735 600</w:t>
            </w:r>
          </w:p>
        </w:tc>
        <w:tc>
          <w:tcPr>
            <w:tcW w:w="762" w:type="pc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1,0</w:t>
            </w:r>
          </w:p>
        </w:tc>
      </w:tr>
    </w:tbl>
    <w:p w:rsidR="00C649E3" w:rsidRPr="00C649E3" w:rsidRDefault="00C649E3" w:rsidP="00C649E3">
      <w:pPr>
        <w:ind w:firstLine="709"/>
        <w:jc w:val="both"/>
        <w:outlineLvl w:val="1"/>
      </w:pPr>
    </w:p>
    <w:p w:rsidR="00C649E3" w:rsidRPr="00C649E3" w:rsidRDefault="00C649E3" w:rsidP="00C649E3">
      <w:pPr>
        <w:ind w:firstLine="709"/>
        <w:jc w:val="both"/>
        <w:outlineLvl w:val="1"/>
      </w:pPr>
      <w:r w:rsidRPr="00C649E3">
        <w:t>В соответствии с решением Регионального отделения Федеральной комиссии по рынку ценных бумаг в Южном федеральном округе (РО ФКЦБ России в ЮФО) осуществлено объединение дополнительных выпусков эмиссионных ценных бумаг                               ОАО «Каббалкэнерго» и присвоены следующие государственные регистрационные номера) (Распоряжение от 21.11.2003 №2786/р):</w:t>
      </w:r>
    </w:p>
    <w:p w:rsidR="00C649E3" w:rsidRPr="00C649E3" w:rsidRDefault="00C649E3" w:rsidP="00AE0E97">
      <w:pPr>
        <w:numPr>
          <w:ilvl w:val="0"/>
          <w:numId w:val="35"/>
        </w:numPr>
        <w:tabs>
          <w:tab w:val="num" w:pos="0"/>
          <w:tab w:val="num" w:pos="360"/>
          <w:tab w:val="left" w:pos="567"/>
          <w:tab w:val="left" w:pos="851"/>
        </w:tabs>
        <w:ind w:firstLine="284"/>
        <w:jc w:val="both"/>
      </w:pPr>
      <w:r w:rsidRPr="00C649E3">
        <w:t>именным обыкновенным бездокументарным акциям от 21.11.2003 №1-01-00233-А.</w:t>
      </w:r>
    </w:p>
    <w:p w:rsidR="00C649E3" w:rsidRPr="00C649E3" w:rsidRDefault="00C649E3" w:rsidP="00AE0E97">
      <w:pPr>
        <w:numPr>
          <w:ilvl w:val="0"/>
          <w:numId w:val="35"/>
        </w:numPr>
        <w:tabs>
          <w:tab w:val="num" w:pos="0"/>
          <w:tab w:val="num" w:pos="360"/>
          <w:tab w:val="left" w:pos="567"/>
          <w:tab w:val="left" w:pos="851"/>
          <w:tab w:val="left" w:pos="1276"/>
        </w:tabs>
        <w:ind w:firstLine="284"/>
        <w:jc w:val="both"/>
      </w:pPr>
      <w:r w:rsidRPr="00C649E3">
        <w:t>именным привилегированным бездокументарным акциям от 21.11.2003 №2-01-00233-А.</w:t>
      </w:r>
    </w:p>
    <w:p w:rsidR="00C649E3" w:rsidRPr="00C649E3" w:rsidRDefault="00C649E3" w:rsidP="00C649E3">
      <w:pPr>
        <w:tabs>
          <w:tab w:val="num" w:pos="0"/>
          <w:tab w:val="left" w:pos="851"/>
        </w:tabs>
        <w:ind w:firstLine="709"/>
        <w:jc w:val="both"/>
        <w:rPr>
          <w:b/>
        </w:rPr>
      </w:pPr>
      <w:r w:rsidRPr="00C649E3">
        <w:t>Акции ОАО «Каббалкэнерго» не допущены к торгам организатора торговли на рынке ценных бумаг.</w:t>
      </w:r>
    </w:p>
    <w:p w:rsidR="00C649E3" w:rsidRPr="00C649E3" w:rsidRDefault="00C649E3" w:rsidP="00C649E3">
      <w:pPr>
        <w:spacing w:before="100" w:beforeAutospacing="1" w:after="100" w:afterAutospacing="1"/>
        <w:ind w:left="720"/>
        <w:rPr>
          <w:b/>
        </w:rPr>
      </w:pPr>
      <w:r w:rsidRPr="00C649E3">
        <w:rPr>
          <w:b/>
        </w:rPr>
        <w:t>Структура акционерного капитала</w:t>
      </w:r>
    </w:p>
    <w:p w:rsidR="00C649E3" w:rsidRPr="00C649E3" w:rsidRDefault="00C649E3" w:rsidP="00C649E3">
      <w:pPr>
        <w:ind w:firstLine="709"/>
        <w:jc w:val="both"/>
        <w:rPr>
          <w:b/>
        </w:rPr>
      </w:pPr>
      <w:r w:rsidRPr="00C649E3">
        <w:t xml:space="preserve">До 01.07.2008 основным акционером ОАО «Каббалкэнерго» являлось ОАО РАО «ЕЭС России». </w:t>
      </w:r>
      <w:r w:rsidR="00D630DE">
        <w:t>После</w:t>
      </w:r>
      <w:r w:rsidRPr="00C649E3">
        <w:t xml:space="preserve"> реорганизаци</w:t>
      </w:r>
      <w:r w:rsidR="00D630DE">
        <w:t>и</w:t>
      </w:r>
      <w:r w:rsidRPr="00C649E3">
        <w:t xml:space="preserve"> ОАО РАО «ЕЭС России»</w:t>
      </w:r>
      <w:r w:rsidR="00D630DE">
        <w:t xml:space="preserve"> с</w:t>
      </w:r>
      <w:r w:rsidR="00D630DE" w:rsidRPr="00C649E3">
        <w:t xml:space="preserve"> 01.07.2008</w:t>
      </w:r>
      <w:r w:rsidRPr="00C649E3">
        <w:t xml:space="preserve"> основным акционером ОАО «Каббалкэнерго» является ОАО «Россети», которому принадлежит 65,3% уставного капитала Общества.</w:t>
      </w:r>
    </w:p>
    <w:p w:rsidR="00C649E3" w:rsidRPr="00C649E3" w:rsidRDefault="00EA39CE" w:rsidP="00EA39CE">
      <w:pPr>
        <w:spacing w:before="100" w:beforeAutospacing="1"/>
        <w:jc w:val="center"/>
        <w:rPr>
          <w:b/>
        </w:rPr>
      </w:pPr>
      <w:r>
        <w:rPr>
          <w:b/>
        </w:rPr>
        <w:t>Структура акционерного капитала</w:t>
      </w:r>
    </w:p>
    <w:p w:rsidR="00C649E3" w:rsidRPr="00C649E3" w:rsidRDefault="00C649E3" w:rsidP="00EA39CE">
      <w:pPr>
        <w:spacing w:after="100" w:afterAutospacing="1"/>
        <w:jc w:val="center"/>
      </w:pPr>
      <w:r w:rsidRPr="00C649E3">
        <w:t>(по состоянию на 31.12.2014)</w:t>
      </w:r>
    </w:p>
    <w:tbl>
      <w:tblPr>
        <w:tblW w:w="8637" w:type="dxa"/>
        <w:jc w:val="center"/>
        <w:tblLook w:val="04A0" w:firstRow="1" w:lastRow="0" w:firstColumn="1" w:lastColumn="0" w:noHBand="0" w:noVBand="1"/>
      </w:tblPr>
      <w:tblGrid>
        <w:gridCol w:w="6172"/>
        <w:gridCol w:w="2465"/>
      </w:tblGrid>
      <w:tr w:rsidR="00C649E3" w:rsidRPr="00C649E3" w:rsidTr="00B56753">
        <w:trPr>
          <w:cantSplit/>
          <w:trHeight w:val="317"/>
          <w:jc w:val="center"/>
        </w:trPr>
        <w:tc>
          <w:tcPr>
            <w:tcW w:w="6172" w:type="dxa"/>
            <w:vMerge w:val="restart"/>
            <w:tcBorders>
              <w:top w:val="single" w:sz="4" w:space="0" w:color="auto"/>
              <w:left w:val="single" w:sz="4" w:space="0" w:color="auto"/>
              <w:bottom w:val="single" w:sz="4" w:space="0" w:color="000000"/>
              <w:right w:val="single" w:sz="4" w:space="0" w:color="auto"/>
            </w:tcBorders>
            <w:vAlign w:val="center"/>
            <w:hideMark/>
          </w:tcPr>
          <w:p w:rsidR="00C649E3" w:rsidRPr="00C649E3" w:rsidRDefault="00C649E3" w:rsidP="00C649E3">
            <w:pPr>
              <w:spacing w:before="100" w:beforeAutospacing="1" w:after="100" w:afterAutospacing="1" w:line="276" w:lineRule="auto"/>
              <w:jc w:val="center"/>
              <w:rPr>
                <w:b/>
                <w:bCs/>
                <w:lang w:eastAsia="en-US"/>
              </w:rPr>
            </w:pPr>
            <w:r w:rsidRPr="00C649E3">
              <w:rPr>
                <w:b/>
                <w:bCs/>
                <w:lang w:eastAsia="en-US"/>
              </w:rPr>
              <w:t>Тип держателя акций</w:t>
            </w:r>
          </w:p>
        </w:tc>
        <w:tc>
          <w:tcPr>
            <w:tcW w:w="2465" w:type="dxa"/>
            <w:vMerge w:val="restart"/>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b/>
                <w:bCs/>
                <w:lang w:eastAsia="en-US"/>
              </w:rPr>
            </w:pPr>
            <w:r w:rsidRPr="00C649E3">
              <w:rPr>
                <w:b/>
                <w:bCs/>
                <w:lang w:eastAsia="en-US"/>
              </w:rPr>
              <w:t>Доля в уставном капитале Общества, %</w:t>
            </w:r>
          </w:p>
        </w:tc>
      </w:tr>
      <w:tr w:rsidR="00C649E3" w:rsidRPr="00C649E3" w:rsidTr="00B56753">
        <w:trPr>
          <w:cantSplit/>
          <w:trHeight w:val="276"/>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rsidR="00C649E3" w:rsidRPr="00C649E3" w:rsidRDefault="00C649E3" w:rsidP="00C649E3">
            <w:pPr>
              <w:rPr>
                <w:b/>
                <w:bCs/>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rPr>
                <w:b/>
                <w:bCs/>
                <w:lang w:eastAsia="en-US"/>
              </w:rPr>
            </w:pPr>
          </w:p>
        </w:tc>
      </w:tr>
      <w:tr w:rsidR="00C649E3" w:rsidRPr="00C649E3" w:rsidTr="00B56753">
        <w:trPr>
          <w:trHeight w:val="224"/>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t>Владельцы - физические лица</w:t>
            </w:r>
          </w:p>
        </w:tc>
        <w:tc>
          <w:tcPr>
            <w:tcW w:w="2465" w:type="dxa"/>
            <w:tcBorders>
              <w:top w:val="single" w:sz="4" w:space="0" w:color="auto"/>
              <w:left w:val="nil"/>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7,28</w:t>
            </w:r>
          </w:p>
        </w:tc>
      </w:tr>
      <w:tr w:rsidR="00C649E3" w:rsidRPr="00C649E3" w:rsidTr="00B56753">
        <w:trPr>
          <w:trHeight w:val="224"/>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lastRenderedPageBreak/>
              <w:t>Владельцы - юридические лица</w:t>
            </w:r>
          </w:p>
        </w:tc>
        <w:tc>
          <w:tcPr>
            <w:tcW w:w="2465" w:type="dxa"/>
            <w:tcBorders>
              <w:top w:val="single" w:sz="4" w:space="0" w:color="auto"/>
              <w:left w:val="nil"/>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17,51</w:t>
            </w:r>
          </w:p>
        </w:tc>
      </w:tr>
      <w:tr w:rsidR="00C649E3" w:rsidRPr="00C649E3" w:rsidTr="00B56753">
        <w:trPr>
          <w:trHeight w:val="224"/>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t>Номинальные держатели:</w:t>
            </w:r>
          </w:p>
        </w:tc>
        <w:tc>
          <w:tcPr>
            <w:tcW w:w="2465" w:type="dxa"/>
            <w:tcBorders>
              <w:top w:val="single" w:sz="4" w:space="0" w:color="auto"/>
              <w:left w:val="nil"/>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75,21</w:t>
            </w:r>
          </w:p>
        </w:tc>
      </w:tr>
      <w:tr w:rsidR="00C649E3" w:rsidRPr="00C649E3" w:rsidTr="00B56753">
        <w:trPr>
          <w:trHeight w:val="224"/>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t>Доверительные управляющие:</w:t>
            </w:r>
          </w:p>
        </w:tc>
        <w:tc>
          <w:tcPr>
            <w:tcW w:w="2465" w:type="dxa"/>
            <w:tcBorders>
              <w:top w:val="single" w:sz="4" w:space="0" w:color="auto"/>
              <w:left w:val="nil"/>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w:t>
            </w:r>
          </w:p>
        </w:tc>
      </w:tr>
      <w:tr w:rsidR="00C649E3" w:rsidRPr="00C649E3" w:rsidTr="00B56753">
        <w:trPr>
          <w:trHeight w:val="224"/>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lang w:eastAsia="en-US"/>
              </w:rPr>
            </w:pPr>
            <w:r w:rsidRPr="00C649E3">
              <w:rPr>
                <w:lang w:eastAsia="en-US"/>
              </w:rPr>
              <w:t>Лицевой счет эмитента:</w:t>
            </w:r>
          </w:p>
        </w:tc>
        <w:tc>
          <w:tcPr>
            <w:tcW w:w="2465" w:type="dxa"/>
            <w:tcBorders>
              <w:top w:val="single" w:sz="4" w:space="0" w:color="auto"/>
              <w:left w:val="nil"/>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center"/>
              <w:rPr>
                <w:lang w:eastAsia="en-US"/>
              </w:rPr>
            </w:pPr>
            <w:r w:rsidRPr="00C649E3">
              <w:rPr>
                <w:lang w:eastAsia="en-US"/>
              </w:rPr>
              <w:t>0</w:t>
            </w:r>
          </w:p>
        </w:tc>
      </w:tr>
      <w:tr w:rsidR="00C649E3" w:rsidRPr="00C649E3" w:rsidTr="00B56753">
        <w:trPr>
          <w:trHeight w:val="311"/>
          <w:jc w:val="center"/>
        </w:trPr>
        <w:tc>
          <w:tcPr>
            <w:tcW w:w="6172" w:type="dxa"/>
            <w:tcBorders>
              <w:top w:val="nil"/>
              <w:left w:val="single" w:sz="4" w:space="0" w:color="auto"/>
              <w:bottom w:val="single" w:sz="4" w:space="0" w:color="auto"/>
              <w:right w:val="single" w:sz="4" w:space="0" w:color="auto"/>
            </w:tcBorders>
            <w:noWrap/>
            <w:vAlign w:val="bottom"/>
            <w:hideMark/>
          </w:tcPr>
          <w:p w:rsidR="00C649E3" w:rsidRPr="00C649E3" w:rsidRDefault="00C649E3" w:rsidP="00C649E3">
            <w:pPr>
              <w:spacing w:before="100" w:beforeAutospacing="1" w:after="100" w:afterAutospacing="1" w:line="276" w:lineRule="auto"/>
              <w:jc w:val="both"/>
              <w:rPr>
                <w:bCs/>
                <w:lang w:eastAsia="en-US"/>
              </w:rPr>
            </w:pPr>
            <w:r w:rsidRPr="00C649E3">
              <w:rPr>
                <w:bCs/>
                <w:lang w:eastAsia="en-US"/>
              </w:rPr>
              <w:t>ИТОГО</w:t>
            </w:r>
          </w:p>
        </w:tc>
        <w:tc>
          <w:tcPr>
            <w:tcW w:w="2465" w:type="dxa"/>
            <w:tcBorders>
              <w:top w:val="single" w:sz="4" w:space="0" w:color="auto"/>
              <w:left w:val="nil"/>
              <w:bottom w:val="single" w:sz="4" w:space="0" w:color="auto"/>
              <w:right w:val="single" w:sz="4" w:space="0" w:color="000000"/>
            </w:tcBorders>
            <w:noWrap/>
            <w:vAlign w:val="bottom"/>
            <w:hideMark/>
          </w:tcPr>
          <w:p w:rsidR="00C649E3" w:rsidRPr="00C649E3" w:rsidRDefault="00C649E3" w:rsidP="00C649E3">
            <w:pPr>
              <w:spacing w:before="100" w:beforeAutospacing="1" w:after="100" w:afterAutospacing="1" w:line="276" w:lineRule="auto"/>
              <w:jc w:val="center"/>
              <w:rPr>
                <w:bCs/>
                <w:lang w:eastAsia="en-US"/>
              </w:rPr>
            </w:pPr>
            <w:r w:rsidRPr="00C649E3">
              <w:rPr>
                <w:bCs/>
                <w:lang w:eastAsia="en-US"/>
              </w:rPr>
              <w:t>100</w:t>
            </w:r>
          </w:p>
        </w:tc>
      </w:tr>
    </w:tbl>
    <w:p w:rsidR="00C649E3" w:rsidRPr="00C649E3" w:rsidRDefault="00C649E3" w:rsidP="00C649E3"/>
    <w:p w:rsidR="00117116" w:rsidRDefault="00C649E3" w:rsidP="00117116">
      <w:pPr>
        <w:tabs>
          <w:tab w:val="left" w:pos="1302"/>
        </w:tabs>
        <w:jc w:val="center"/>
      </w:pPr>
      <w:r w:rsidRPr="00C649E3">
        <w:rPr>
          <w:noProof/>
        </w:rPr>
        <w:drawing>
          <wp:inline distT="0" distB="0" distL="0" distR="0" wp14:anchorId="393E67A6" wp14:editId="2A1B0B72">
            <wp:extent cx="4106174" cy="2208362"/>
            <wp:effectExtent l="0" t="0" r="27940" b="20955"/>
            <wp:docPr id="38"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C649E3" w:rsidRPr="00117116" w:rsidRDefault="00C649E3" w:rsidP="00117116">
      <w:pPr>
        <w:tabs>
          <w:tab w:val="left" w:pos="1302"/>
        </w:tabs>
        <w:jc w:val="center"/>
      </w:pPr>
      <w:r w:rsidRPr="00C649E3">
        <w:rPr>
          <w:b/>
        </w:rPr>
        <w:t xml:space="preserve">Сведения об акционерах, владеющих 5 и </w:t>
      </w:r>
      <w:r w:rsidR="00EA39CE">
        <w:rPr>
          <w:b/>
        </w:rPr>
        <w:t>более процентами акций Общества</w:t>
      </w:r>
    </w:p>
    <w:p w:rsidR="00C649E3" w:rsidRPr="00C649E3" w:rsidRDefault="00C649E3" w:rsidP="00EA39CE">
      <w:pPr>
        <w:jc w:val="center"/>
        <w:rPr>
          <w:bCs/>
          <w:iCs/>
        </w:rPr>
      </w:pPr>
      <w:r w:rsidRPr="00C649E3">
        <w:rPr>
          <w:bCs/>
          <w:iCs/>
        </w:rPr>
        <w:t xml:space="preserve">(по состоянию на </w:t>
      </w:r>
      <w:r w:rsidRPr="00C649E3">
        <w:t>31.12.2014</w:t>
      </w:r>
      <w:r w:rsidRPr="00C649E3">
        <w:rPr>
          <w:bCs/>
          <w:iCs/>
        </w:rPr>
        <w:t>)</w:t>
      </w:r>
    </w:p>
    <w:p w:rsidR="00C649E3" w:rsidRPr="00C649E3" w:rsidRDefault="00C649E3" w:rsidP="00C649E3">
      <w:pPr>
        <w:jc w:val="center"/>
      </w:pPr>
    </w:p>
    <w:tbl>
      <w:tblPr>
        <w:tblW w:w="9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1"/>
        <w:gridCol w:w="1549"/>
        <w:gridCol w:w="3439"/>
      </w:tblGrid>
      <w:tr w:rsidR="00C649E3" w:rsidRPr="00C649E3" w:rsidTr="00EA39CE">
        <w:trPr>
          <w:trHeight w:val="1125"/>
          <w:jc w:val="center"/>
        </w:trPr>
        <w:tc>
          <w:tcPr>
            <w:tcW w:w="4051"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b/>
                <w:bCs/>
                <w:sz w:val="22"/>
                <w:szCs w:val="22"/>
                <w:lang w:eastAsia="en-US"/>
              </w:rPr>
            </w:pPr>
            <w:r w:rsidRPr="00C649E3">
              <w:rPr>
                <w:b/>
                <w:bCs/>
                <w:sz w:val="22"/>
                <w:szCs w:val="22"/>
                <w:lang w:eastAsia="en-US"/>
              </w:rPr>
              <w:t>Наименование</w:t>
            </w:r>
          </w:p>
        </w:tc>
        <w:tc>
          <w:tcPr>
            <w:tcW w:w="154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b/>
                <w:bCs/>
                <w:sz w:val="22"/>
                <w:szCs w:val="22"/>
                <w:lang w:eastAsia="en-US"/>
              </w:rPr>
            </w:pPr>
            <w:r w:rsidRPr="00C649E3">
              <w:rPr>
                <w:b/>
                <w:bCs/>
                <w:sz w:val="22"/>
                <w:szCs w:val="22"/>
                <w:lang w:eastAsia="en-US"/>
              </w:rPr>
              <w:t>Доля в уставном капитале Общества, %</w:t>
            </w:r>
          </w:p>
        </w:tc>
        <w:tc>
          <w:tcPr>
            <w:tcW w:w="343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before="100" w:beforeAutospacing="1" w:after="100" w:afterAutospacing="1" w:line="276" w:lineRule="auto"/>
              <w:jc w:val="center"/>
              <w:rPr>
                <w:b/>
                <w:bCs/>
                <w:sz w:val="22"/>
                <w:szCs w:val="22"/>
                <w:lang w:eastAsia="en-US"/>
              </w:rPr>
            </w:pPr>
            <w:r w:rsidRPr="00C649E3">
              <w:rPr>
                <w:b/>
                <w:bCs/>
                <w:sz w:val="22"/>
                <w:szCs w:val="22"/>
                <w:lang w:eastAsia="en-US"/>
              </w:rPr>
              <w:t>Место нахождения</w:t>
            </w:r>
          </w:p>
        </w:tc>
      </w:tr>
      <w:tr w:rsidR="00C649E3" w:rsidRPr="00C649E3" w:rsidTr="00EA39CE">
        <w:trPr>
          <w:trHeight w:val="568"/>
          <w:jc w:val="center"/>
        </w:trPr>
        <w:tc>
          <w:tcPr>
            <w:tcW w:w="4051"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bCs/>
                <w:sz w:val="22"/>
                <w:szCs w:val="22"/>
                <w:lang w:eastAsia="en-US"/>
              </w:rPr>
            </w:pPr>
            <w:r w:rsidRPr="00C649E3">
              <w:rPr>
                <w:bCs/>
                <w:sz w:val="22"/>
                <w:szCs w:val="22"/>
                <w:lang w:eastAsia="en-US"/>
              </w:rPr>
              <w:t>ОАО «Россети»</w:t>
            </w:r>
          </w:p>
        </w:tc>
        <w:tc>
          <w:tcPr>
            <w:tcW w:w="154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B07CD5" w:rsidP="00C649E3">
            <w:pPr>
              <w:spacing w:line="276" w:lineRule="auto"/>
              <w:jc w:val="center"/>
              <w:rPr>
                <w:bCs/>
                <w:sz w:val="22"/>
                <w:szCs w:val="22"/>
                <w:lang w:eastAsia="en-US"/>
              </w:rPr>
            </w:pPr>
            <w:r>
              <w:rPr>
                <w:sz w:val="22"/>
                <w:szCs w:val="22"/>
                <w:lang w:eastAsia="en-US"/>
              </w:rPr>
              <w:t>65,27</w:t>
            </w:r>
          </w:p>
        </w:tc>
        <w:tc>
          <w:tcPr>
            <w:tcW w:w="343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bCs/>
                <w:sz w:val="22"/>
                <w:szCs w:val="22"/>
                <w:lang w:eastAsia="en-US"/>
              </w:rPr>
            </w:pPr>
            <w:r w:rsidRPr="00C649E3">
              <w:rPr>
                <w:sz w:val="22"/>
                <w:szCs w:val="22"/>
                <w:lang w:eastAsia="en-US"/>
              </w:rPr>
              <w:t>121353, г. Москва, ул. Беловежская, д. 4.</w:t>
            </w:r>
          </w:p>
        </w:tc>
      </w:tr>
      <w:tr w:rsidR="00C649E3" w:rsidRPr="00C649E3" w:rsidTr="00EA39CE">
        <w:trPr>
          <w:trHeight w:val="685"/>
          <w:jc w:val="center"/>
        </w:trPr>
        <w:tc>
          <w:tcPr>
            <w:tcW w:w="4051"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bCs/>
                <w:sz w:val="22"/>
                <w:szCs w:val="22"/>
                <w:lang w:eastAsia="en-US"/>
              </w:rPr>
            </w:pPr>
            <w:r w:rsidRPr="00C649E3">
              <w:rPr>
                <w:sz w:val="22"/>
                <w:szCs w:val="22"/>
                <w:lang w:eastAsia="en-US"/>
              </w:rPr>
              <w:t>Федеральное агентство по управлению государственным имуществом</w:t>
            </w:r>
          </w:p>
        </w:tc>
        <w:tc>
          <w:tcPr>
            <w:tcW w:w="154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jc w:val="center"/>
              <w:rPr>
                <w:bCs/>
                <w:sz w:val="22"/>
                <w:szCs w:val="22"/>
                <w:lang w:eastAsia="en-US"/>
              </w:rPr>
            </w:pPr>
            <w:r w:rsidRPr="00C649E3">
              <w:rPr>
                <w:sz w:val="22"/>
                <w:szCs w:val="22"/>
                <w:lang w:eastAsia="en-US"/>
              </w:rPr>
              <w:t>13</w:t>
            </w:r>
            <w:r w:rsidR="00B07CD5">
              <w:rPr>
                <w:sz w:val="22"/>
                <w:szCs w:val="22"/>
                <w:lang w:eastAsia="en-US"/>
              </w:rPr>
              <w:t>,00</w:t>
            </w:r>
          </w:p>
        </w:tc>
        <w:tc>
          <w:tcPr>
            <w:tcW w:w="343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bCs/>
                <w:sz w:val="22"/>
                <w:szCs w:val="22"/>
                <w:lang w:eastAsia="en-US"/>
              </w:rPr>
            </w:pPr>
            <w:r w:rsidRPr="00C649E3">
              <w:rPr>
                <w:sz w:val="22"/>
                <w:szCs w:val="22"/>
                <w:lang w:eastAsia="en-US"/>
              </w:rPr>
              <w:t>109012, г. Москва, Никольский переулок, д. 9.</w:t>
            </w:r>
          </w:p>
        </w:tc>
      </w:tr>
      <w:tr w:rsidR="00C649E3" w:rsidRPr="00247FEF" w:rsidTr="00EA39CE">
        <w:trPr>
          <w:trHeight w:val="411"/>
          <w:jc w:val="center"/>
        </w:trPr>
        <w:tc>
          <w:tcPr>
            <w:tcW w:w="4051"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sz w:val="22"/>
                <w:szCs w:val="22"/>
                <w:lang w:eastAsia="en-US"/>
              </w:rPr>
            </w:pPr>
            <w:r w:rsidRPr="00C649E3">
              <w:rPr>
                <w:sz w:val="22"/>
                <w:szCs w:val="22"/>
                <w:lang w:val="en-US" w:eastAsia="en-US"/>
              </w:rPr>
              <w:t>Renaissance Securities</w:t>
            </w:r>
            <w:r w:rsidRPr="00C649E3">
              <w:rPr>
                <w:sz w:val="22"/>
                <w:szCs w:val="22"/>
                <w:lang w:eastAsia="en-US"/>
              </w:rPr>
              <w:t xml:space="preserve"> (</w:t>
            </w:r>
            <w:r w:rsidRPr="00C649E3">
              <w:rPr>
                <w:sz w:val="22"/>
                <w:szCs w:val="22"/>
                <w:lang w:val="en-US" w:eastAsia="en-US"/>
              </w:rPr>
              <w:t>Cyprus</w:t>
            </w:r>
            <w:r w:rsidRPr="00C649E3">
              <w:rPr>
                <w:sz w:val="22"/>
                <w:szCs w:val="22"/>
                <w:lang w:eastAsia="en-US"/>
              </w:rPr>
              <w:t xml:space="preserve">) </w:t>
            </w:r>
            <w:r w:rsidRPr="00C649E3">
              <w:rPr>
                <w:sz w:val="22"/>
                <w:szCs w:val="22"/>
                <w:lang w:val="en-US" w:eastAsia="en-US"/>
              </w:rPr>
              <w:t>Limited</w:t>
            </w:r>
          </w:p>
        </w:tc>
        <w:tc>
          <w:tcPr>
            <w:tcW w:w="154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B07CD5" w:rsidP="00C649E3">
            <w:pPr>
              <w:spacing w:line="276" w:lineRule="auto"/>
              <w:jc w:val="center"/>
              <w:rPr>
                <w:sz w:val="22"/>
                <w:szCs w:val="22"/>
                <w:lang w:eastAsia="en-US"/>
              </w:rPr>
            </w:pPr>
            <w:r>
              <w:rPr>
                <w:sz w:val="22"/>
                <w:szCs w:val="22"/>
                <w:lang w:eastAsia="en-US"/>
              </w:rPr>
              <w:t>7,55</w:t>
            </w:r>
          </w:p>
        </w:tc>
        <w:tc>
          <w:tcPr>
            <w:tcW w:w="3439" w:type="dxa"/>
            <w:tcBorders>
              <w:top w:val="single" w:sz="4" w:space="0" w:color="auto"/>
              <w:left w:val="single" w:sz="4" w:space="0" w:color="auto"/>
              <w:bottom w:val="single" w:sz="4" w:space="0" w:color="auto"/>
              <w:right w:val="single" w:sz="4" w:space="0" w:color="auto"/>
            </w:tcBorders>
            <w:vAlign w:val="center"/>
            <w:hideMark/>
          </w:tcPr>
          <w:p w:rsidR="00C649E3" w:rsidRPr="00C649E3" w:rsidRDefault="00C649E3" w:rsidP="00C649E3">
            <w:pPr>
              <w:spacing w:line="276" w:lineRule="auto"/>
              <w:rPr>
                <w:sz w:val="22"/>
                <w:szCs w:val="22"/>
                <w:lang w:val="en-US" w:eastAsia="en-US"/>
              </w:rPr>
            </w:pPr>
            <w:r w:rsidRPr="00C649E3">
              <w:rPr>
                <w:sz w:val="22"/>
                <w:szCs w:val="22"/>
                <w:lang w:val="en-US" w:eastAsia="en-US"/>
              </w:rPr>
              <w:t>1065 Nicosia Arch. Makariou III, 2-4, Capital Center, 9</w:t>
            </w:r>
            <w:r w:rsidRPr="00C649E3">
              <w:rPr>
                <w:sz w:val="22"/>
                <w:szCs w:val="22"/>
                <w:vertAlign w:val="superscript"/>
                <w:lang w:val="en-US" w:eastAsia="en-US"/>
              </w:rPr>
              <w:t>th</w:t>
            </w:r>
            <w:r w:rsidRPr="00C649E3">
              <w:rPr>
                <w:sz w:val="22"/>
                <w:szCs w:val="22"/>
                <w:lang w:val="en-US" w:eastAsia="en-US"/>
              </w:rPr>
              <w:t xml:space="preserve"> Floor.</w:t>
            </w:r>
          </w:p>
        </w:tc>
      </w:tr>
    </w:tbl>
    <w:p w:rsidR="00C649E3" w:rsidRPr="00C649E3" w:rsidRDefault="00C649E3" w:rsidP="00C649E3">
      <w:pPr>
        <w:rPr>
          <w:lang w:val="en-US"/>
        </w:rPr>
      </w:pPr>
    </w:p>
    <w:p w:rsidR="00C649E3" w:rsidRPr="00C649E3" w:rsidRDefault="00C649E3" w:rsidP="00C649E3">
      <w:pPr>
        <w:rPr>
          <w:lang w:val="en-US"/>
        </w:rPr>
      </w:pPr>
    </w:p>
    <w:p w:rsidR="00C649E3" w:rsidRPr="00C649E3" w:rsidRDefault="00C649E3" w:rsidP="00EA39CE">
      <w:pPr>
        <w:ind w:left="-142"/>
        <w:jc w:val="center"/>
      </w:pPr>
      <w:r w:rsidRPr="00C649E3">
        <w:rPr>
          <w:noProof/>
        </w:rPr>
        <w:lastRenderedPageBreak/>
        <w:drawing>
          <wp:inline distT="0" distB="0" distL="0" distR="0" wp14:anchorId="66ADA7B7" wp14:editId="2F0803AE">
            <wp:extent cx="5495290" cy="3209290"/>
            <wp:effectExtent l="0" t="0" r="10160" b="10160"/>
            <wp:docPr id="39"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C649E3" w:rsidRDefault="00C649E3" w:rsidP="005378D7">
      <w:pPr>
        <w:spacing w:after="200" w:line="276" w:lineRule="auto"/>
        <w:jc w:val="center"/>
        <w:rPr>
          <w:b/>
          <w:sz w:val="32"/>
        </w:rPr>
      </w:pPr>
    </w:p>
    <w:p w:rsidR="005378D7" w:rsidRDefault="005378D7" w:rsidP="00117116">
      <w:pPr>
        <w:spacing w:after="200" w:line="276" w:lineRule="auto"/>
        <w:rPr>
          <w:b/>
          <w:sz w:val="32"/>
        </w:rPr>
      </w:pPr>
    </w:p>
    <w:p w:rsidR="006476B0" w:rsidRPr="00E776C2" w:rsidRDefault="00117116" w:rsidP="00117116">
      <w:pPr>
        <w:spacing w:after="200" w:line="276" w:lineRule="auto"/>
        <w:jc w:val="center"/>
        <w:rPr>
          <w:b/>
          <w:sz w:val="32"/>
        </w:rPr>
      </w:pPr>
      <w:r w:rsidRPr="00E776C2">
        <w:rPr>
          <w:b/>
          <w:sz w:val="32"/>
        </w:rPr>
        <w:t xml:space="preserve">Раздел 6. </w:t>
      </w:r>
      <w:r w:rsidR="005378D7" w:rsidRPr="00E776C2">
        <w:rPr>
          <w:b/>
          <w:sz w:val="32"/>
        </w:rPr>
        <w:t>Социальный отчет</w:t>
      </w:r>
    </w:p>
    <w:p w:rsidR="006476B0" w:rsidRPr="00E776C2" w:rsidRDefault="00117116" w:rsidP="00117116">
      <w:pPr>
        <w:autoSpaceDE w:val="0"/>
        <w:autoSpaceDN w:val="0"/>
        <w:adjustRightInd w:val="0"/>
        <w:jc w:val="center"/>
        <w:rPr>
          <w:b/>
          <w:sz w:val="28"/>
        </w:rPr>
      </w:pPr>
      <w:r w:rsidRPr="00E776C2">
        <w:rPr>
          <w:b/>
          <w:sz w:val="28"/>
        </w:rPr>
        <w:t xml:space="preserve">6.1. </w:t>
      </w:r>
      <w:r w:rsidR="006476B0" w:rsidRPr="00E776C2">
        <w:rPr>
          <w:b/>
          <w:sz w:val="28"/>
        </w:rPr>
        <w:t>Кадровая и социальная политик</w:t>
      </w:r>
      <w:r w:rsidRPr="00E776C2">
        <w:rPr>
          <w:b/>
          <w:sz w:val="28"/>
        </w:rPr>
        <w:t>и</w:t>
      </w:r>
      <w:r w:rsidR="006476B0" w:rsidRPr="00E776C2">
        <w:rPr>
          <w:b/>
          <w:sz w:val="28"/>
        </w:rPr>
        <w:t xml:space="preserve"> Общества</w:t>
      </w:r>
    </w:p>
    <w:p w:rsidR="006476B0" w:rsidRPr="00E776C2" w:rsidRDefault="006476B0" w:rsidP="006476B0">
      <w:pPr>
        <w:pStyle w:val="a9"/>
        <w:autoSpaceDE w:val="0"/>
        <w:autoSpaceDN w:val="0"/>
        <w:adjustRightInd w:val="0"/>
        <w:ind w:left="540"/>
        <w:rPr>
          <w:b/>
          <w:sz w:val="28"/>
        </w:rPr>
      </w:pPr>
    </w:p>
    <w:p w:rsidR="006108C8" w:rsidRPr="006108C8" w:rsidRDefault="006108C8" w:rsidP="006108C8">
      <w:pPr>
        <w:ind w:firstLine="709"/>
        <w:jc w:val="both"/>
        <w:rPr>
          <w:rFonts w:eastAsia="Calibri"/>
          <w:lang w:eastAsia="en-US"/>
        </w:rPr>
      </w:pPr>
      <w:r w:rsidRPr="006108C8">
        <w:rPr>
          <w:rFonts w:eastAsia="Calibri"/>
          <w:lang w:eastAsia="en-US"/>
        </w:rPr>
        <w:t xml:space="preserve">Кадровая  политика ОАО «Каббалкэнерго» направлена на обеспечение Общества высококвалифицированными кадрами, обладающими знаниями и навыками, необходимыми для достижения успешных результатов производственной и экономической деятельности. </w:t>
      </w:r>
    </w:p>
    <w:p w:rsidR="006108C8" w:rsidRPr="006108C8" w:rsidRDefault="006108C8" w:rsidP="006108C8">
      <w:pPr>
        <w:ind w:firstLine="709"/>
        <w:jc w:val="both"/>
        <w:rPr>
          <w:rFonts w:eastAsia="Calibri"/>
          <w:lang w:eastAsia="en-US"/>
        </w:rPr>
      </w:pPr>
      <w:r w:rsidRPr="006108C8">
        <w:rPr>
          <w:rFonts w:eastAsia="Calibri"/>
          <w:lang w:eastAsia="en-US"/>
        </w:rPr>
        <w:t>Ключевыми целями кадровой и социальной политики Общества, призванными обеспечить достижение целевых ориентиров являются:</w:t>
      </w:r>
    </w:p>
    <w:p w:rsidR="006108C8" w:rsidRPr="006108C8" w:rsidRDefault="006108C8" w:rsidP="006108C8">
      <w:pPr>
        <w:ind w:firstLine="709"/>
        <w:jc w:val="both"/>
        <w:rPr>
          <w:rFonts w:eastAsia="Calibri"/>
          <w:lang w:eastAsia="en-US"/>
        </w:rPr>
      </w:pPr>
      <w:r w:rsidRPr="006108C8">
        <w:rPr>
          <w:rFonts w:eastAsia="Calibri"/>
          <w:lang w:eastAsia="en-US"/>
        </w:rPr>
        <w:t>- планирование потребности в персонале – обеспечение наличия достоверной информации об оперативной и прогнозной численной и качественной потребности в трудовых ресурсах, необходимой и достаточной для выполнения поставленных перед филиалом задач;</w:t>
      </w:r>
    </w:p>
    <w:p w:rsidR="006108C8" w:rsidRPr="006108C8" w:rsidRDefault="006108C8" w:rsidP="006108C8">
      <w:pPr>
        <w:ind w:firstLine="709"/>
        <w:jc w:val="both"/>
        <w:rPr>
          <w:rFonts w:eastAsia="Calibri"/>
          <w:lang w:eastAsia="en-US"/>
        </w:rPr>
      </w:pPr>
      <w:r w:rsidRPr="006108C8">
        <w:rPr>
          <w:rFonts w:eastAsia="Calibri"/>
          <w:lang w:eastAsia="en-US"/>
        </w:rPr>
        <w:t>- своевременное обеспечение потребностей Общества в персонале требуемой квалификации;</w:t>
      </w:r>
    </w:p>
    <w:p w:rsidR="006108C8" w:rsidRPr="006108C8" w:rsidRDefault="006108C8" w:rsidP="006108C8">
      <w:pPr>
        <w:ind w:firstLine="709"/>
        <w:jc w:val="both"/>
        <w:rPr>
          <w:rFonts w:eastAsia="Calibri"/>
          <w:lang w:eastAsia="en-US"/>
        </w:rPr>
      </w:pPr>
      <w:r w:rsidRPr="006108C8">
        <w:rPr>
          <w:rFonts w:eastAsia="Calibri"/>
          <w:lang w:eastAsia="en-US"/>
        </w:rPr>
        <w:t>- обеспечение эффективности деятельности персонала, рост производительности труда.</w:t>
      </w:r>
    </w:p>
    <w:p w:rsidR="006108C8" w:rsidRPr="006108C8" w:rsidRDefault="006108C8" w:rsidP="006108C8">
      <w:pPr>
        <w:ind w:firstLine="709"/>
        <w:jc w:val="both"/>
        <w:rPr>
          <w:rFonts w:eastAsia="Calibri"/>
          <w:lang w:eastAsia="en-US"/>
        </w:rPr>
      </w:pPr>
      <w:r w:rsidRPr="006108C8">
        <w:rPr>
          <w:rFonts w:eastAsia="Calibri"/>
          <w:lang w:eastAsia="en-US"/>
        </w:rPr>
        <w:t>Основными направлениями работы в области управления персоналом в  Обществе являются:</w:t>
      </w:r>
    </w:p>
    <w:p w:rsidR="006108C8" w:rsidRPr="006108C8" w:rsidRDefault="006108C8" w:rsidP="006108C8">
      <w:pPr>
        <w:ind w:firstLine="709"/>
        <w:jc w:val="both"/>
        <w:rPr>
          <w:rFonts w:eastAsia="Calibri"/>
          <w:lang w:eastAsia="en-US"/>
        </w:rPr>
      </w:pPr>
      <w:r w:rsidRPr="006108C8">
        <w:rPr>
          <w:rFonts w:eastAsia="Calibri"/>
          <w:lang w:eastAsia="en-US"/>
        </w:rPr>
        <w:t>- формирование и поддержание высококвалифицированного и работоспособного коллектива;</w:t>
      </w:r>
    </w:p>
    <w:p w:rsidR="006108C8" w:rsidRPr="006108C8" w:rsidRDefault="006108C8" w:rsidP="006108C8">
      <w:pPr>
        <w:ind w:firstLine="709"/>
        <w:jc w:val="both"/>
        <w:rPr>
          <w:rFonts w:eastAsia="Calibri"/>
          <w:lang w:eastAsia="en-US"/>
        </w:rPr>
      </w:pPr>
      <w:r w:rsidRPr="006108C8">
        <w:rPr>
          <w:rFonts w:eastAsia="Calibri"/>
          <w:lang w:eastAsia="en-US"/>
        </w:rPr>
        <w:t xml:space="preserve">- формирование и работа с кадровым резервом; </w:t>
      </w:r>
    </w:p>
    <w:p w:rsidR="006108C8" w:rsidRPr="006108C8" w:rsidRDefault="006108C8" w:rsidP="006108C8">
      <w:pPr>
        <w:ind w:firstLine="709"/>
        <w:jc w:val="both"/>
        <w:rPr>
          <w:rFonts w:eastAsia="Calibri"/>
          <w:lang w:eastAsia="en-US"/>
        </w:rPr>
      </w:pPr>
      <w:r w:rsidRPr="006108C8">
        <w:rPr>
          <w:rFonts w:eastAsia="Calibri"/>
          <w:lang w:eastAsia="en-US"/>
        </w:rPr>
        <w:t>- создание благоприятных условий для работы персонала;</w:t>
      </w:r>
    </w:p>
    <w:p w:rsidR="006108C8" w:rsidRPr="006108C8" w:rsidRDefault="006108C8" w:rsidP="006108C8">
      <w:pPr>
        <w:ind w:firstLine="709"/>
        <w:jc w:val="both"/>
        <w:rPr>
          <w:rFonts w:eastAsia="Calibri"/>
          <w:lang w:eastAsia="en-US"/>
        </w:rPr>
      </w:pPr>
      <w:r w:rsidRPr="006108C8">
        <w:rPr>
          <w:rFonts w:eastAsia="Calibri"/>
          <w:lang w:eastAsia="en-US"/>
        </w:rPr>
        <w:t>- формирование и укрепление корпоративной культуры Общества;</w:t>
      </w:r>
    </w:p>
    <w:p w:rsidR="006108C8" w:rsidRPr="006108C8" w:rsidRDefault="006108C8" w:rsidP="006108C8">
      <w:pPr>
        <w:ind w:firstLine="709"/>
        <w:jc w:val="both"/>
        <w:rPr>
          <w:rFonts w:eastAsia="Calibri"/>
          <w:lang w:eastAsia="en-US"/>
        </w:rPr>
      </w:pPr>
      <w:r w:rsidRPr="006108C8">
        <w:rPr>
          <w:rFonts w:eastAsia="Calibri"/>
          <w:lang w:eastAsia="en-US"/>
        </w:rPr>
        <w:t>- развитие системы профессиональной подготовки, переподготовки и повышения квалификации персонала;</w:t>
      </w:r>
    </w:p>
    <w:p w:rsidR="006108C8" w:rsidRPr="006108C8" w:rsidRDefault="006108C8" w:rsidP="006108C8">
      <w:pPr>
        <w:ind w:firstLine="709"/>
        <w:jc w:val="both"/>
        <w:rPr>
          <w:rFonts w:eastAsia="Calibri"/>
          <w:lang w:eastAsia="en-US"/>
        </w:rPr>
      </w:pPr>
      <w:r w:rsidRPr="006108C8">
        <w:rPr>
          <w:rFonts w:eastAsia="Calibri"/>
          <w:lang w:eastAsia="en-US"/>
        </w:rPr>
        <w:lastRenderedPageBreak/>
        <w:t>- развитие персонала на основе внедрения новых современных управленческих технологий.</w:t>
      </w:r>
    </w:p>
    <w:p w:rsidR="006108C8" w:rsidRPr="006108C8" w:rsidRDefault="006108C8" w:rsidP="006108C8">
      <w:pPr>
        <w:ind w:firstLine="709"/>
        <w:jc w:val="both"/>
        <w:rPr>
          <w:rFonts w:eastAsia="Calibri"/>
          <w:lang w:eastAsia="en-US"/>
        </w:rPr>
      </w:pPr>
    </w:p>
    <w:p w:rsidR="006108C8" w:rsidRPr="006108C8" w:rsidRDefault="006108C8" w:rsidP="006108C8">
      <w:pPr>
        <w:ind w:firstLine="709"/>
        <w:jc w:val="both"/>
        <w:rPr>
          <w:rFonts w:eastAsia="Calibri"/>
          <w:lang w:eastAsia="en-US"/>
        </w:rPr>
      </w:pPr>
      <w:r w:rsidRPr="006108C8">
        <w:rPr>
          <w:rFonts w:eastAsia="Calibri"/>
          <w:lang w:eastAsia="en-US"/>
        </w:rPr>
        <w:t>Социальная политика Общества включает в себя программы и мероприятия, направленные на решение наиболее актуальных задач социального развития коллектива, улучшение условий труда, обеспечение социальной защиты работников.</w:t>
      </w:r>
    </w:p>
    <w:p w:rsidR="006476B0" w:rsidRPr="006476B0" w:rsidRDefault="006108C8" w:rsidP="006108C8">
      <w:pPr>
        <w:ind w:firstLine="709"/>
        <w:jc w:val="both"/>
        <w:rPr>
          <w:rFonts w:eastAsia="Calibri"/>
          <w:lang w:eastAsia="en-US"/>
        </w:rPr>
      </w:pPr>
      <w:r w:rsidRPr="006108C8">
        <w:rPr>
          <w:rFonts w:eastAsia="Calibri"/>
          <w:lang w:eastAsia="en-US"/>
        </w:rPr>
        <w:t>Общество стимулирует труд своих работников, реализуя большое количество социальных льгот, гарантий и компенсаций в соответствии с Коллективным договором на 2013-2015гг.</w:t>
      </w:r>
    </w:p>
    <w:p w:rsidR="006476B0" w:rsidRPr="00E776C2" w:rsidRDefault="006476B0" w:rsidP="006476B0">
      <w:pPr>
        <w:ind w:left="-567" w:firstLine="567"/>
        <w:jc w:val="both"/>
        <w:rPr>
          <w:sz w:val="28"/>
        </w:rPr>
      </w:pPr>
    </w:p>
    <w:p w:rsidR="006476B0" w:rsidRPr="00E776C2" w:rsidRDefault="00117116" w:rsidP="00117116">
      <w:pPr>
        <w:autoSpaceDE w:val="0"/>
        <w:autoSpaceDN w:val="0"/>
        <w:adjustRightInd w:val="0"/>
        <w:jc w:val="center"/>
        <w:rPr>
          <w:b/>
          <w:sz w:val="28"/>
        </w:rPr>
      </w:pPr>
      <w:r w:rsidRPr="00E776C2">
        <w:rPr>
          <w:b/>
          <w:sz w:val="28"/>
        </w:rPr>
        <w:t xml:space="preserve">6.2. </w:t>
      </w:r>
      <w:r w:rsidR="006476B0" w:rsidRPr="00E776C2">
        <w:rPr>
          <w:b/>
          <w:sz w:val="28"/>
        </w:rPr>
        <w:t>Численность и структура персонала</w:t>
      </w:r>
    </w:p>
    <w:p w:rsidR="006476B0" w:rsidRPr="006476B0" w:rsidRDefault="006476B0" w:rsidP="006476B0">
      <w:pPr>
        <w:pStyle w:val="a9"/>
        <w:autoSpaceDE w:val="0"/>
        <w:autoSpaceDN w:val="0"/>
        <w:adjustRightInd w:val="0"/>
        <w:ind w:left="540"/>
        <w:rPr>
          <w:b/>
        </w:rPr>
      </w:pPr>
    </w:p>
    <w:p w:rsidR="006108C8" w:rsidRPr="006108C8" w:rsidRDefault="006108C8" w:rsidP="006108C8">
      <w:pPr>
        <w:tabs>
          <w:tab w:val="num" w:pos="0"/>
          <w:tab w:val="left" w:pos="851"/>
        </w:tabs>
        <w:ind w:firstLine="709"/>
        <w:jc w:val="both"/>
      </w:pPr>
      <w:r w:rsidRPr="006108C8">
        <w:t>Среднесписочная численность персонала Общества в 2014 году составила 454,3 чел., что на 74,3% выше, чем в 2013г.</w:t>
      </w:r>
    </w:p>
    <w:p w:rsidR="006108C8" w:rsidRPr="006108C8" w:rsidRDefault="006108C8" w:rsidP="006108C8">
      <w:pPr>
        <w:tabs>
          <w:tab w:val="num" w:pos="0"/>
          <w:tab w:val="left" w:pos="851"/>
        </w:tabs>
        <w:ind w:firstLine="709"/>
        <w:jc w:val="both"/>
      </w:pPr>
      <w:r w:rsidRPr="006108C8">
        <w:t>Рост среднесписочной численности персонала обусловлен введением с 01.02.2013г. в штатное расписание Нальчикского энергосбытового отделения со штатной численностью 115 ед. Формирование штата происходило постепенно в течение двух лет.</w:t>
      </w:r>
    </w:p>
    <w:p w:rsidR="006108C8" w:rsidRPr="006108C8" w:rsidRDefault="006108C8" w:rsidP="006108C8">
      <w:pPr>
        <w:tabs>
          <w:tab w:val="num" w:pos="0"/>
          <w:tab w:val="left" w:pos="851"/>
        </w:tabs>
        <w:jc w:val="center"/>
        <w:rPr>
          <w:b/>
        </w:rPr>
      </w:pPr>
      <w:r w:rsidRPr="006108C8">
        <w:rPr>
          <w:b/>
          <w:noProof/>
        </w:rPr>
        <w:drawing>
          <wp:inline distT="0" distB="0" distL="0" distR="0" wp14:anchorId="657C84D0" wp14:editId="75001C51">
            <wp:extent cx="6967220" cy="2862580"/>
            <wp:effectExtent l="0" t="0" r="0" b="0"/>
            <wp:docPr id="3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967220" cy="2862580"/>
                    </a:xfrm>
                    <a:prstGeom prst="rect">
                      <a:avLst/>
                    </a:prstGeom>
                    <a:noFill/>
                    <a:ln>
                      <a:noFill/>
                    </a:ln>
                  </pic:spPr>
                </pic:pic>
              </a:graphicData>
            </a:graphic>
          </wp:inline>
        </w:drawing>
      </w:r>
    </w:p>
    <w:p w:rsidR="006108C8" w:rsidRPr="006108C8" w:rsidRDefault="006108C8" w:rsidP="006108C8">
      <w:pPr>
        <w:tabs>
          <w:tab w:val="num" w:pos="0"/>
          <w:tab w:val="left" w:pos="851"/>
        </w:tabs>
        <w:jc w:val="center"/>
        <w:rPr>
          <w:b/>
        </w:rPr>
      </w:pPr>
      <w:r w:rsidRPr="006108C8">
        <w:rPr>
          <w:b/>
        </w:rPr>
        <w:t>Диаграмма 2. Среднесписочная численность персонала в ОАО "Каббалкэнерго" в динамике за 2012 – 2014гг.</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r w:rsidRPr="006108C8">
        <w:rPr>
          <w:noProof/>
        </w:rPr>
        <w:lastRenderedPageBreak/>
        <w:drawing>
          <wp:inline distT="0" distB="0" distL="0" distR="0" wp14:anchorId="204B39D4" wp14:editId="00F62ACC">
            <wp:extent cx="5297805" cy="2623820"/>
            <wp:effectExtent l="0" t="0" r="17145" b="24130"/>
            <wp:docPr id="32"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center"/>
        <w:rPr>
          <w:b/>
        </w:rPr>
      </w:pPr>
      <w:r w:rsidRPr="006108C8">
        <w:rPr>
          <w:b/>
        </w:rPr>
        <w:t>Диаграмма 3. Распределение численности персонала в 2014 г.</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r w:rsidRPr="006108C8">
        <w:rPr>
          <w:noProof/>
        </w:rPr>
        <w:drawing>
          <wp:inline distT="0" distB="0" distL="0" distR="0" wp14:anchorId="7ED49119" wp14:editId="3BCF66BE">
            <wp:extent cx="5347335" cy="2892425"/>
            <wp:effectExtent l="0" t="0" r="24765" b="22225"/>
            <wp:docPr id="44"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center"/>
        <w:rPr>
          <w:b/>
        </w:rPr>
      </w:pPr>
      <w:r w:rsidRPr="006108C8">
        <w:rPr>
          <w:b/>
        </w:rPr>
        <w:t>Диаграмма 4. Уровень обеспеченности персоналом, %</w:t>
      </w:r>
    </w:p>
    <w:p w:rsidR="006108C8" w:rsidRPr="006108C8" w:rsidRDefault="006108C8" w:rsidP="006108C8">
      <w:pPr>
        <w:tabs>
          <w:tab w:val="num" w:pos="0"/>
          <w:tab w:val="left" w:pos="851"/>
        </w:tabs>
        <w:jc w:val="both"/>
      </w:pPr>
      <w:r w:rsidRPr="006108C8">
        <w:tab/>
      </w:r>
    </w:p>
    <w:p w:rsidR="006108C8" w:rsidRPr="006108C8" w:rsidRDefault="006108C8" w:rsidP="006108C8">
      <w:pPr>
        <w:tabs>
          <w:tab w:val="num" w:pos="0"/>
          <w:tab w:val="left" w:pos="851"/>
        </w:tabs>
        <w:ind w:firstLine="709"/>
        <w:jc w:val="both"/>
      </w:pPr>
      <w:r w:rsidRPr="006108C8">
        <w:t xml:space="preserve">В сравнении с 2013 годом  уровень обеспеченности персоналом вырос и в 2014 году составил 99%. </w:t>
      </w:r>
    </w:p>
    <w:p w:rsidR="006108C8" w:rsidRPr="006108C8" w:rsidRDefault="006108C8" w:rsidP="006108C8">
      <w:pPr>
        <w:tabs>
          <w:tab w:val="num" w:pos="0"/>
          <w:tab w:val="left" w:pos="851"/>
        </w:tabs>
        <w:ind w:firstLine="709"/>
        <w:jc w:val="both"/>
      </w:pPr>
    </w:p>
    <w:p w:rsidR="006108C8" w:rsidRPr="006108C8" w:rsidRDefault="006108C8" w:rsidP="006108C8">
      <w:pPr>
        <w:tabs>
          <w:tab w:val="num" w:pos="0"/>
          <w:tab w:val="left" w:pos="851"/>
        </w:tabs>
        <w:jc w:val="both"/>
      </w:pPr>
      <w:r w:rsidRPr="006108C8">
        <w:rPr>
          <w:noProof/>
        </w:rPr>
        <w:lastRenderedPageBreak/>
        <w:drawing>
          <wp:inline distT="0" distB="0" distL="0" distR="0" wp14:anchorId="1EA5533A" wp14:editId="4776A77F">
            <wp:extent cx="5715000" cy="2792730"/>
            <wp:effectExtent l="0" t="0" r="0" b="7620"/>
            <wp:docPr id="5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15000" cy="2792730"/>
                    </a:xfrm>
                    <a:prstGeom prst="rect">
                      <a:avLst/>
                    </a:prstGeom>
                    <a:noFill/>
                    <a:ln>
                      <a:noFill/>
                    </a:ln>
                  </pic:spPr>
                </pic:pic>
              </a:graphicData>
            </a:graphic>
          </wp:inline>
        </w:drawing>
      </w:r>
    </w:p>
    <w:p w:rsidR="006108C8" w:rsidRPr="006108C8" w:rsidRDefault="006108C8" w:rsidP="006108C8">
      <w:pPr>
        <w:tabs>
          <w:tab w:val="num" w:pos="0"/>
          <w:tab w:val="left" w:pos="851"/>
        </w:tabs>
        <w:jc w:val="center"/>
        <w:rPr>
          <w:b/>
        </w:rPr>
      </w:pPr>
      <w:r w:rsidRPr="006108C8">
        <w:rPr>
          <w:b/>
        </w:rPr>
        <w:t>Диаграмма 5. Структура персонала по категориям в динамике за 2012 – 2014 гг.</w:t>
      </w:r>
    </w:p>
    <w:p w:rsidR="006108C8" w:rsidRPr="006108C8" w:rsidRDefault="006108C8" w:rsidP="006108C8">
      <w:pPr>
        <w:tabs>
          <w:tab w:val="num" w:pos="0"/>
          <w:tab w:val="left" w:pos="851"/>
        </w:tabs>
        <w:jc w:val="both"/>
      </w:pPr>
      <w:r w:rsidRPr="006108C8">
        <w:tab/>
      </w:r>
    </w:p>
    <w:p w:rsidR="006108C8" w:rsidRPr="006108C8" w:rsidRDefault="006108C8" w:rsidP="006108C8">
      <w:pPr>
        <w:tabs>
          <w:tab w:val="num" w:pos="0"/>
          <w:tab w:val="left" w:pos="851"/>
        </w:tabs>
        <w:ind w:firstLine="709"/>
        <w:jc w:val="both"/>
      </w:pPr>
      <w:r w:rsidRPr="006108C8">
        <w:t xml:space="preserve">Структура персонала Общества по категориям обусловлена спецификой деятельности компании - осуществление энергосбытовой деятельности. Около половины от общей численности персонала составляют специалисты (46%), руководители – 26%, рабочие -28%. В 2014 году доля руководителей снизилась на 0,53 п.п., доля специалистов увеличилась на 2,12 п.п. </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r w:rsidRPr="006108C8">
        <w:rPr>
          <w:noProof/>
        </w:rPr>
        <w:drawing>
          <wp:inline distT="0" distB="0" distL="0" distR="0" wp14:anchorId="2E047B4B" wp14:editId="7CFAC302">
            <wp:extent cx="5297805" cy="2663825"/>
            <wp:effectExtent l="0" t="0" r="17145" b="22225"/>
            <wp:docPr id="66"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center"/>
        <w:rPr>
          <w:b/>
        </w:rPr>
      </w:pPr>
      <w:r w:rsidRPr="006108C8">
        <w:rPr>
          <w:b/>
        </w:rPr>
        <w:t>Диаграмма 6. Структура персонала по возрасту в динамике за 2012 – 2014 гг.</w:t>
      </w:r>
    </w:p>
    <w:p w:rsidR="006108C8" w:rsidRPr="006108C8" w:rsidRDefault="006108C8" w:rsidP="006108C8">
      <w:pPr>
        <w:tabs>
          <w:tab w:val="num" w:pos="0"/>
          <w:tab w:val="left" w:pos="851"/>
        </w:tabs>
        <w:jc w:val="both"/>
      </w:pPr>
      <w:r w:rsidRPr="006108C8">
        <w:tab/>
      </w:r>
    </w:p>
    <w:p w:rsidR="006108C8" w:rsidRPr="006108C8" w:rsidRDefault="006108C8" w:rsidP="006108C8">
      <w:pPr>
        <w:tabs>
          <w:tab w:val="num" w:pos="0"/>
          <w:tab w:val="left" w:pos="851"/>
        </w:tabs>
        <w:ind w:firstLine="709"/>
        <w:jc w:val="both"/>
      </w:pPr>
      <w:r w:rsidRPr="006108C8">
        <w:t xml:space="preserve">На протяжении трех лет значительно увеличилось число работников в возрасте до 25 лет - от 4,4% в 2012 году до 9,17% в 2014 году. В 2014 году на 1,5 п.п. снизилась доля работников старше 50 лет. </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r w:rsidRPr="006108C8">
        <w:rPr>
          <w:noProof/>
        </w:rPr>
        <w:lastRenderedPageBreak/>
        <w:drawing>
          <wp:inline distT="0" distB="0" distL="0" distR="0" wp14:anchorId="3B1830F8" wp14:editId="2A1B5CB5">
            <wp:extent cx="5973445" cy="3110865"/>
            <wp:effectExtent l="0" t="0" r="27305" b="13335"/>
            <wp:docPr id="67" name="Объект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6108C8" w:rsidRPr="006108C8" w:rsidRDefault="006108C8" w:rsidP="006108C8">
      <w:pPr>
        <w:tabs>
          <w:tab w:val="num" w:pos="0"/>
          <w:tab w:val="left" w:pos="851"/>
        </w:tabs>
        <w:jc w:val="center"/>
        <w:rPr>
          <w:b/>
        </w:rPr>
      </w:pPr>
      <w:r w:rsidRPr="006108C8">
        <w:rPr>
          <w:b/>
        </w:rPr>
        <w:t>Диаграмма 7. Структура персонала по уровню образования в динамике за 2012 – 2014 гг.   в %</w:t>
      </w:r>
    </w:p>
    <w:p w:rsidR="006108C8" w:rsidRPr="006108C8" w:rsidRDefault="006108C8" w:rsidP="006108C8">
      <w:pPr>
        <w:tabs>
          <w:tab w:val="num" w:pos="0"/>
          <w:tab w:val="left" w:pos="851"/>
        </w:tabs>
        <w:jc w:val="both"/>
      </w:pPr>
      <w:r w:rsidRPr="006108C8">
        <w:tab/>
      </w:r>
    </w:p>
    <w:p w:rsidR="008F12C3" w:rsidRDefault="006108C8" w:rsidP="006108C8">
      <w:pPr>
        <w:tabs>
          <w:tab w:val="num" w:pos="0"/>
          <w:tab w:val="left" w:pos="851"/>
        </w:tabs>
        <w:ind w:firstLine="709"/>
        <w:jc w:val="both"/>
      </w:pPr>
      <w:r w:rsidRPr="006108C8">
        <w:t>Персонал Общества характеризуется высоким уровнем квалификации работников – основная доля  работников имеет профессиональное образование, в том числе порядка 70% работников имеют высшее образование.</w:t>
      </w:r>
    </w:p>
    <w:p w:rsidR="006476B0" w:rsidRDefault="006476B0" w:rsidP="006476B0">
      <w:pPr>
        <w:jc w:val="both"/>
      </w:pPr>
    </w:p>
    <w:p w:rsidR="006476B0" w:rsidRPr="00E776C2" w:rsidRDefault="00117116" w:rsidP="00117116">
      <w:pPr>
        <w:jc w:val="center"/>
        <w:rPr>
          <w:b/>
          <w:sz w:val="28"/>
        </w:rPr>
      </w:pPr>
      <w:r w:rsidRPr="00E776C2">
        <w:rPr>
          <w:b/>
          <w:sz w:val="28"/>
        </w:rPr>
        <w:t xml:space="preserve">6.3. </w:t>
      </w:r>
      <w:r w:rsidR="002A533B" w:rsidRPr="00E776C2">
        <w:rPr>
          <w:b/>
          <w:sz w:val="28"/>
        </w:rPr>
        <w:t>Обучение и развитие персонала</w:t>
      </w:r>
    </w:p>
    <w:p w:rsidR="002A533B" w:rsidRPr="00E776C2" w:rsidRDefault="002A533B" w:rsidP="002A533B">
      <w:pPr>
        <w:pStyle w:val="a9"/>
        <w:autoSpaceDE w:val="0"/>
        <w:autoSpaceDN w:val="0"/>
        <w:adjustRightInd w:val="0"/>
        <w:ind w:left="540"/>
        <w:rPr>
          <w:b/>
          <w:sz w:val="28"/>
        </w:rPr>
      </w:pPr>
    </w:p>
    <w:p w:rsidR="006108C8" w:rsidRPr="006108C8" w:rsidRDefault="006108C8" w:rsidP="006108C8">
      <w:pPr>
        <w:tabs>
          <w:tab w:val="num" w:pos="0"/>
          <w:tab w:val="left" w:pos="851"/>
        </w:tabs>
        <w:ind w:firstLine="709"/>
        <w:jc w:val="both"/>
      </w:pPr>
      <w:r w:rsidRPr="006108C8">
        <w:t>Процесс обучения персонала в отчетном году проводился в соответствии с Правилами работы с персоналом в организациях электроэнергетики Российской Федерации, утвержденными Приказом Минтопэнерго РФ от 19.02.2000 № 49 и планом-графиком  подготовки и дополнительного профессионального образования персонала на 2014 год.</w:t>
      </w:r>
    </w:p>
    <w:p w:rsidR="006108C8" w:rsidRPr="006108C8" w:rsidRDefault="006108C8" w:rsidP="006108C8">
      <w:pPr>
        <w:tabs>
          <w:tab w:val="num" w:pos="0"/>
          <w:tab w:val="left" w:pos="851"/>
        </w:tabs>
        <w:ind w:firstLine="709"/>
        <w:jc w:val="both"/>
      </w:pPr>
    </w:p>
    <w:p w:rsidR="006108C8" w:rsidRPr="006108C8" w:rsidRDefault="006108C8" w:rsidP="006108C8">
      <w:pPr>
        <w:tabs>
          <w:tab w:val="num" w:pos="0"/>
          <w:tab w:val="left" w:pos="851"/>
        </w:tabs>
        <w:jc w:val="both"/>
      </w:pPr>
      <w:r w:rsidRPr="006108C8">
        <w:rPr>
          <w:noProof/>
        </w:rPr>
        <w:lastRenderedPageBreak/>
        <w:drawing>
          <wp:inline distT="0" distB="0" distL="0" distR="0" wp14:anchorId="308D4C58" wp14:editId="37B6A8A8">
            <wp:extent cx="5386705" cy="3935730"/>
            <wp:effectExtent l="0" t="0" r="23495" b="26670"/>
            <wp:docPr id="7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6108C8" w:rsidRPr="006108C8" w:rsidRDefault="006108C8" w:rsidP="006108C8">
      <w:pPr>
        <w:tabs>
          <w:tab w:val="num" w:pos="0"/>
          <w:tab w:val="left" w:pos="851"/>
        </w:tabs>
        <w:jc w:val="center"/>
        <w:rPr>
          <w:b/>
        </w:rPr>
      </w:pPr>
      <w:r w:rsidRPr="006108C8">
        <w:rPr>
          <w:b/>
        </w:rPr>
        <w:t>Диаграмма 8. Доля работников, принявших участие в обучающих мероприятиях.</w:t>
      </w:r>
    </w:p>
    <w:p w:rsidR="006108C8" w:rsidRPr="006108C8" w:rsidRDefault="006108C8" w:rsidP="006108C8">
      <w:pPr>
        <w:tabs>
          <w:tab w:val="num" w:pos="0"/>
          <w:tab w:val="left" w:pos="851"/>
        </w:tabs>
        <w:jc w:val="both"/>
      </w:pPr>
      <w:r w:rsidRPr="006108C8">
        <w:tab/>
      </w:r>
    </w:p>
    <w:p w:rsidR="006108C8" w:rsidRPr="006108C8" w:rsidRDefault="006108C8" w:rsidP="006108C8">
      <w:pPr>
        <w:tabs>
          <w:tab w:val="num" w:pos="0"/>
          <w:tab w:val="left" w:pos="851"/>
        </w:tabs>
        <w:ind w:firstLine="709"/>
        <w:jc w:val="both"/>
      </w:pPr>
      <w:r w:rsidRPr="006108C8">
        <w:t xml:space="preserve">Всего в обучающих мероприятиях приняли участие 26чел., что составляет 5,72% от численности персонала Общества. Это в 5 раз больше чем в 2013 году (5 чел). Основными направлениями подготовки кадров стали энергоаудит и энергоменеджмент. </w:t>
      </w:r>
    </w:p>
    <w:p w:rsidR="006108C8" w:rsidRPr="006108C8" w:rsidRDefault="006108C8" w:rsidP="006108C8">
      <w:pPr>
        <w:tabs>
          <w:tab w:val="num" w:pos="0"/>
          <w:tab w:val="left" w:pos="851"/>
        </w:tabs>
        <w:ind w:firstLine="709"/>
        <w:jc w:val="both"/>
      </w:pPr>
      <w:r w:rsidRPr="006108C8">
        <w:t>При подготовке кадров в Обществе используются как возможности поставщиков оборудования/ программного обеспечения, так и формы внутреннего обучения. В рамках Плана проведения обучения сотрудников Обществ по направлениям деятельности на 2014 год, работники Управления по работе с субъектами электроэнергетики  ОАО «Каббалкэнерго» проводили обучающие семинары на тему "Учет и реализация электроэнергии" для 12 специалистов и руководителей Общества по направлениям деятельности.</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jc w:val="both"/>
      </w:pPr>
      <w:r w:rsidRPr="006108C8">
        <w:rPr>
          <w:noProof/>
        </w:rPr>
        <w:drawing>
          <wp:inline distT="0" distB="0" distL="0" distR="0" wp14:anchorId="757102F4" wp14:editId="0B8B4740">
            <wp:extent cx="5029200" cy="2405380"/>
            <wp:effectExtent l="0" t="0" r="19050" b="13970"/>
            <wp:docPr id="72" name="Объект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6108C8" w:rsidRPr="006108C8" w:rsidRDefault="006108C8" w:rsidP="006108C8">
      <w:pPr>
        <w:tabs>
          <w:tab w:val="num" w:pos="0"/>
          <w:tab w:val="left" w:pos="851"/>
        </w:tabs>
        <w:jc w:val="center"/>
        <w:rPr>
          <w:b/>
        </w:rPr>
      </w:pPr>
      <w:r w:rsidRPr="006108C8">
        <w:rPr>
          <w:b/>
        </w:rPr>
        <w:lastRenderedPageBreak/>
        <w:t>Диаграмма 9. Распределение обученных работников по категориям</w:t>
      </w:r>
    </w:p>
    <w:p w:rsidR="006108C8" w:rsidRPr="006108C8" w:rsidRDefault="006108C8" w:rsidP="006108C8">
      <w:pPr>
        <w:tabs>
          <w:tab w:val="num" w:pos="0"/>
          <w:tab w:val="left" w:pos="851"/>
        </w:tabs>
        <w:jc w:val="both"/>
      </w:pPr>
    </w:p>
    <w:p w:rsidR="006108C8" w:rsidRPr="006108C8" w:rsidRDefault="006108C8" w:rsidP="006108C8">
      <w:pPr>
        <w:tabs>
          <w:tab w:val="num" w:pos="0"/>
          <w:tab w:val="left" w:pos="851"/>
        </w:tabs>
        <w:ind w:firstLine="709"/>
        <w:jc w:val="both"/>
        <w:rPr>
          <w:b/>
        </w:rPr>
      </w:pPr>
      <w:r w:rsidRPr="006108C8">
        <w:rPr>
          <w:b/>
        </w:rPr>
        <w:t>Взаимодействие с образовательными учреждениями</w:t>
      </w:r>
    </w:p>
    <w:p w:rsidR="006108C8" w:rsidRPr="006108C8" w:rsidRDefault="006108C8" w:rsidP="006108C8">
      <w:pPr>
        <w:tabs>
          <w:tab w:val="num" w:pos="0"/>
          <w:tab w:val="left" w:pos="851"/>
        </w:tabs>
        <w:ind w:firstLine="709"/>
        <w:jc w:val="both"/>
      </w:pPr>
      <w:r w:rsidRPr="006108C8">
        <w:t>Ключевыми партнерами в области подготовки кадров остаются Негосударственное образовательное учреждение  «Учебный комбинат» г. Ессентуки и Международный институт сотрудничества Восток-Запад г. Москва.</w:t>
      </w:r>
    </w:p>
    <w:p w:rsidR="002A533B" w:rsidRPr="006476B0" w:rsidRDefault="006108C8" w:rsidP="006108C8">
      <w:pPr>
        <w:tabs>
          <w:tab w:val="left" w:pos="1275"/>
        </w:tabs>
        <w:ind w:firstLine="709"/>
        <w:jc w:val="both"/>
        <w:rPr>
          <w:bCs/>
        </w:rPr>
      </w:pPr>
      <w:r w:rsidRPr="006108C8">
        <w:t>В 2014 году  2 инспектора  Нальчикского энергосбытового отделения Общества прошли обучение по программе повышения квалификации «Электромонтер по эксплуатации электросчетчиков», реализуемой НОУ «Учебный комбинат» г. Ессентуки</w:t>
      </w:r>
      <w:r w:rsidRPr="006108C8">
        <w:rPr>
          <w:bCs/>
        </w:rPr>
        <w:t>.</w:t>
      </w:r>
    </w:p>
    <w:p w:rsidR="002A533B" w:rsidRPr="006476B0" w:rsidRDefault="002A533B" w:rsidP="006476B0">
      <w:pPr>
        <w:tabs>
          <w:tab w:val="left" w:pos="1275"/>
        </w:tabs>
        <w:jc w:val="center"/>
        <w:rPr>
          <w:b/>
          <w:bCs/>
        </w:rPr>
      </w:pPr>
    </w:p>
    <w:p w:rsidR="006476B0" w:rsidRPr="00BB53EC" w:rsidRDefault="00117116" w:rsidP="00117116">
      <w:pPr>
        <w:autoSpaceDE w:val="0"/>
        <w:autoSpaceDN w:val="0"/>
        <w:adjustRightInd w:val="0"/>
        <w:jc w:val="center"/>
        <w:rPr>
          <w:b/>
          <w:sz w:val="28"/>
        </w:rPr>
      </w:pPr>
      <w:r w:rsidRPr="00BB53EC">
        <w:rPr>
          <w:b/>
          <w:sz w:val="28"/>
        </w:rPr>
        <w:t xml:space="preserve">6.4. </w:t>
      </w:r>
      <w:r w:rsidR="006476B0" w:rsidRPr="00BB53EC">
        <w:rPr>
          <w:b/>
          <w:sz w:val="28"/>
        </w:rPr>
        <w:t>Работа</w:t>
      </w:r>
      <w:r w:rsidR="00095BEB" w:rsidRPr="00BB53EC">
        <w:rPr>
          <w:b/>
          <w:sz w:val="28"/>
        </w:rPr>
        <w:t xml:space="preserve"> с кадровыми резервами Общества</w:t>
      </w:r>
    </w:p>
    <w:p w:rsidR="00095BEB" w:rsidRPr="00095BEB" w:rsidRDefault="00095BEB" w:rsidP="00095BEB">
      <w:pPr>
        <w:pStyle w:val="a9"/>
        <w:autoSpaceDE w:val="0"/>
        <w:autoSpaceDN w:val="0"/>
        <w:adjustRightInd w:val="0"/>
        <w:ind w:left="540"/>
        <w:rPr>
          <w:b/>
        </w:rPr>
      </w:pPr>
    </w:p>
    <w:p w:rsidR="00B50C02" w:rsidRPr="00B50C02" w:rsidRDefault="00B50C02" w:rsidP="00B50C02">
      <w:pPr>
        <w:tabs>
          <w:tab w:val="num" w:pos="0"/>
        </w:tabs>
        <w:ind w:firstLine="709"/>
        <w:jc w:val="both"/>
      </w:pPr>
      <w:r w:rsidRPr="00B50C02">
        <w:t>В ряду приоритетных направлений в области развития кадрового потенциала в ОАО «Каббалкэнерго» осуществляется работа с управленческим кадровым резервом. Данное направление деятельности регламентируется Положением о формировании, подготовке и использованию кадрового резерва ОАО «Каббалкэнерго» (приказ ОАО «Каббалкэнерго» от 10.09.2013 № 99).</w:t>
      </w:r>
    </w:p>
    <w:p w:rsidR="00B50C02" w:rsidRPr="00B50C02" w:rsidRDefault="00B50C02" w:rsidP="00B50C02">
      <w:pPr>
        <w:tabs>
          <w:tab w:val="num" w:pos="0"/>
        </w:tabs>
        <w:ind w:firstLine="709"/>
        <w:jc w:val="both"/>
      </w:pPr>
      <w:r w:rsidRPr="00B50C02">
        <w:t xml:space="preserve">Работа с кадровым резервом в ОАО «Каббалкэнерго» проводится в целях обеспечения потребностей Общества в укомплектовании высвобождаемых и вновь вводимых управленческих должностей подготовленными сотрудниками, обеспечение преемственности в системе управления. </w:t>
      </w:r>
    </w:p>
    <w:p w:rsidR="00B50C02" w:rsidRPr="00B50C02" w:rsidRDefault="00B50C02" w:rsidP="00B50C02">
      <w:pPr>
        <w:tabs>
          <w:tab w:val="num" w:pos="0"/>
        </w:tabs>
        <w:ind w:firstLine="709"/>
        <w:jc w:val="both"/>
      </w:pPr>
      <w:r w:rsidRPr="00B50C02">
        <w:t>Управленческий кадровый резерв ОАО «Каббалкэнерго» формируется на должности:</w:t>
      </w:r>
    </w:p>
    <w:p w:rsidR="00B50C02" w:rsidRPr="00B50C02" w:rsidRDefault="00B50C02" w:rsidP="00B50C02">
      <w:pPr>
        <w:tabs>
          <w:tab w:val="num" w:pos="0"/>
        </w:tabs>
        <w:ind w:firstLine="709"/>
        <w:jc w:val="both"/>
      </w:pPr>
      <w:r w:rsidRPr="00B50C02">
        <w:t xml:space="preserve">руководителей структурных подразделений исполнительного аппарата; </w:t>
      </w:r>
      <w:r w:rsidRPr="00B50C02">
        <w:tab/>
      </w:r>
    </w:p>
    <w:p w:rsidR="00B50C02" w:rsidRPr="00B50C02" w:rsidRDefault="00B50C02" w:rsidP="00B50C02">
      <w:pPr>
        <w:tabs>
          <w:tab w:val="num" w:pos="0"/>
        </w:tabs>
        <w:ind w:firstLine="709"/>
        <w:jc w:val="both"/>
      </w:pPr>
      <w:r w:rsidRPr="00B50C02">
        <w:t>начальников и заместителей начальников энергосбытовых отделений.</w:t>
      </w:r>
    </w:p>
    <w:p w:rsidR="00B50C02" w:rsidRPr="00B50C02" w:rsidRDefault="00B50C02" w:rsidP="00B50C02">
      <w:pPr>
        <w:tabs>
          <w:tab w:val="num" w:pos="0"/>
        </w:tabs>
        <w:ind w:firstLine="709"/>
        <w:jc w:val="both"/>
      </w:pPr>
      <w:r w:rsidRPr="00B50C02">
        <w:t>В состав управленческого кадрового резерва Общества входят 63 работника, обладающих квалификацией, опытом работы и деловыми качествами, позволяющими претендовать на целевые должности.</w:t>
      </w:r>
    </w:p>
    <w:p w:rsidR="00B50C02" w:rsidRPr="00B50C02" w:rsidRDefault="00B50C02" w:rsidP="00B50C02">
      <w:pPr>
        <w:tabs>
          <w:tab w:val="num" w:pos="0"/>
          <w:tab w:val="left" w:pos="851"/>
        </w:tabs>
        <w:jc w:val="both"/>
      </w:pPr>
    </w:p>
    <w:p w:rsidR="00B50C02" w:rsidRPr="00B50C02" w:rsidRDefault="00B50C02" w:rsidP="00B50C02">
      <w:pPr>
        <w:tabs>
          <w:tab w:val="num" w:pos="0"/>
          <w:tab w:val="left" w:pos="851"/>
        </w:tabs>
        <w:jc w:val="both"/>
      </w:pPr>
      <w:r w:rsidRPr="00B50C02">
        <w:rPr>
          <w:noProof/>
        </w:rPr>
        <w:drawing>
          <wp:inline distT="0" distB="0" distL="0" distR="0" wp14:anchorId="27853F17" wp14:editId="3DD20EFA">
            <wp:extent cx="5943600" cy="2435225"/>
            <wp:effectExtent l="0" t="0" r="0" b="0"/>
            <wp:docPr id="73"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B50C02" w:rsidRPr="00B50C02" w:rsidRDefault="00B50C02" w:rsidP="00B50C02">
      <w:pPr>
        <w:tabs>
          <w:tab w:val="num" w:pos="0"/>
          <w:tab w:val="left" w:pos="851"/>
        </w:tabs>
        <w:jc w:val="center"/>
        <w:rPr>
          <w:b/>
        </w:rPr>
      </w:pPr>
      <w:r w:rsidRPr="00B50C02">
        <w:rPr>
          <w:b/>
        </w:rPr>
        <w:t>Диаграмма 10. Обеспеченность управленческих должностей кадровым резервом на конец отчетного периода</w:t>
      </w:r>
    </w:p>
    <w:p w:rsidR="00B50C02" w:rsidRPr="00B50C02" w:rsidRDefault="00B50C02" w:rsidP="00B50C02">
      <w:pPr>
        <w:tabs>
          <w:tab w:val="num" w:pos="0"/>
          <w:tab w:val="left" w:pos="851"/>
        </w:tabs>
        <w:ind w:firstLine="709"/>
        <w:jc w:val="both"/>
      </w:pPr>
    </w:p>
    <w:p w:rsidR="00B50C02" w:rsidRPr="00B50C02" w:rsidRDefault="00B50C02" w:rsidP="00B50C02">
      <w:pPr>
        <w:tabs>
          <w:tab w:val="num" w:pos="0"/>
          <w:tab w:val="left" w:pos="851"/>
        </w:tabs>
        <w:ind w:firstLine="709"/>
        <w:jc w:val="both"/>
      </w:pPr>
      <w:r w:rsidRPr="00B50C02">
        <w:t>В целях обеспечения эффективной подготовки на целевую должность работников, состоящих в кадровом резерве, для них разработаны мероприятия, направленные на освоение профессиональных и управленческих компетенций - резервисты участвуют в подготовке и проведении рабочих совещаний по внедрению новых методов работы, организации деятельности энергосбытовых отделений Общества по повышению платежной дисциплины.</w:t>
      </w:r>
    </w:p>
    <w:p w:rsidR="00B50C02" w:rsidRPr="00B50C02" w:rsidRDefault="00B50C02" w:rsidP="00B50C02">
      <w:pPr>
        <w:tabs>
          <w:tab w:val="num" w:pos="0"/>
          <w:tab w:val="left" w:pos="851"/>
        </w:tabs>
        <w:ind w:firstLine="709"/>
        <w:jc w:val="both"/>
      </w:pPr>
      <w:r w:rsidRPr="00B50C02">
        <w:lastRenderedPageBreak/>
        <w:t xml:space="preserve">В связи с тем, что кадровый  резерв Общества впервые был сформирован  в 2014 году, основные мероприятия по подготовке резервистов запланированы на 2015 год. </w:t>
      </w:r>
    </w:p>
    <w:p w:rsidR="00B50C02" w:rsidRPr="00B50C02" w:rsidRDefault="00B50C02" w:rsidP="00B50C02">
      <w:pPr>
        <w:tabs>
          <w:tab w:val="num" w:pos="0"/>
          <w:tab w:val="left" w:pos="851"/>
        </w:tabs>
        <w:ind w:firstLine="709"/>
        <w:jc w:val="both"/>
      </w:pPr>
      <w:r w:rsidRPr="00B50C02">
        <w:t>Для каждого члена кадрового резерва разработан индивидуальный план развития с учетом его целевой должности. Подготовка резервистов ориентирована на освоение знаний, умений, навыков, необходимых для исполнения обязанностей в целевой должности и предполагает:</w:t>
      </w:r>
    </w:p>
    <w:p w:rsidR="00B50C02" w:rsidRPr="00B50C02" w:rsidRDefault="00B50C02" w:rsidP="00B50C02">
      <w:pPr>
        <w:tabs>
          <w:tab w:val="num" w:pos="0"/>
          <w:tab w:val="left" w:pos="851"/>
        </w:tabs>
        <w:ind w:firstLine="709"/>
        <w:jc w:val="both"/>
      </w:pPr>
      <w:r w:rsidRPr="00B50C02">
        <w:t>- участие кандидатов в совещаниях, комиссиях, рабочих группах, в подготовке и проведении семинаров, конференций и иных мероприятий с целью приобретения ими профессиональных навыков, а также обмена положительным опытом работы;</w:t>
      </w:r>
    </w:p>
    <w:p w:rsidR="00B50C02" w:rsidRPr="00B50C02" w:rsidRDefault="00B50C02" w:rsidP="00B50C02">
      <w:pPr>
        <w:tabs>
          <w:tab w:val="num" w:pos="0"/>
          <w:tab w:val="left" w:pos="851"/>
        </w:tabs>
        <w:ind w:firstLine="709"/>
        <w:jc w:val="both"/>
      </w:pPr>
      <w:r w:rsidRPr="00B50C02">
        <w:t>- самостоятельную подготовку кандидатов для обновления и пополнения знаний по вопросам теории и практики, относящимся к замещаемой должности;</w:t>
      </w:r>
    </w:p>
    <w:p w:rsidR="00B50C02" w:rsidRPr="00B50C02" w:rsidRDefault="00B50C02" w:rsidP="00B50C02">
      <w:pPr>
        <w:tabs>
          <w:tab w:val="num" w:pos="0"/>
          <w:tab w:val="left" w:pos="851"/>
        </w:tabs>
        <w:ind w:firstLine="709"/>
        <w:jc w:val="both"/>
      </w:pPr>
      <w:r w:rsidRPr="00B50C02">
        <w:t>- участие в программах дополнительной профессиональной подготовки.</w:t>
      </w:r>
    </w:p>
    <w:p w:rsidR="00B50C02" w:rsidRPr="00B50C02" w:rsidRDefault="00B50C02" w:rsidP="00B50C02">
      <w:pPr>
        <w:tabs>
          <w:tab w:val="num" w:pos="0"/>
          <w:tab w:val="left" w:pos="851"/>
        </w:tabs>
        <w:ind w:firstLine="709"/>
        <w:jc w:val="both"/>
      </w:pPr>
      <w:r w:rsidRPr="00B50C02">
        <w:t>С целью выполнения запланированных мероприятий в Обществе утверждены:</w:t>
      </w:r>
    </w:p>
    <w:p w:rsidR="00B50C02" w:rsidRPr="00B50C02" w:rsidRDefault="00B50C02" w:rsidP="00B50C02">
      <w:pPr>
        <w:tabs>
          <w:tab w:val="num" w:pos="0"/>
          <w:tab w:val="left" w:pos="851"/>
        </w:tabs>
        <w:ind w:firstLine="709"/>
        <w:jc w:val="both"/>
      </w:pPr>
      <w:r w:rsidRPr="00B50C02">
        <w:t>- План - график подготовки и дополнительного профессионального образования персонала ОАО «Каббалкэнерго» на 2015 год, включающий проведение обучающих семинаров с привлечением контрагентов.</w:t>
      </w:r>
    </w:p>
    <w:p w:rsidR="006476B0" w:rsidRPr="006476B0" w:rsidRDefault="00B50C02" w:rsidP="00B50C02">
      <w:pPr>
        <w:ind w:firstLine="709"/>
        <w:jc w:val="both"/>
      </w:pPr>
      <w:r w:rsidRPr="00B50C02">
        <w:t>- План проведения обучения сотрудников Общества по направлениям деятельности в 2015 году на базе Управления по организации энергосбытовой деятельности, включающий проведение корпоративных семинаров внутренними преподавателями - работниками Общества</w:t>
      </w:r>
      <w:r w:rsidRPr="00B50C02">
        <w:rPr>
          <w:bCs/>
        </w:rPr>
        <w:t>.</w:t>
      </w:r>
    </w:p>
    <w:p w:rsidR="006476B0" w:rsidRPr="006476B0" w:rsidRDefault="006476B0" w:rsidP="00095BEB">
      <w:pPr>
        <w:ind w:firstLine="709"/>
      </w:pPr>
    </w:p>
    <w:p w:rsidR="006476B0" w:rsidRPr="00BB53EC" w:rsidRDefault="00117116" w:rsidP="00117116">
      <w:pPr>
        <w:autoSpaceDE w:val="0"/>
        <w:autoSpaceDN w:val="0"/>
        <w:adjustRightInd w:val="0"/>
        <w:jc w:val="center"/>
        <w:rPr>
          <w:b/>
          <w:sz w:val="28"/>
        </w:rPr>
      </w:pPr>
      <w:r w:rsidRPr="00BB53EC">
        <w:rPr>
          <w:b/>
          <w:sz w:val="28"/>
        </w:rPr>
        <w:t xml:space="preserve">6.5. </w:t>
      </w:r>
      <w:r w:rsidR="00095BEB" w:rsidRPr="00BB53EC">
        <w:rPr>
          <w:b/>
          <w:sz w:val="28"/>
        </w:rPr>
        <w:t>Социальная ответственность</w:t>
      </w:r>
    </w:p>
    <w:p w:rsidR="00095BEB" w:rsidRPr="006476B0" w:rsidRDefault="00095BEB" w:rsidP="00095BEB">
      <w:pPr>
        <w:autoSpaceDE w:val="0"/>
        <w:autoSpaceDN w:val="0"/>
        <w:adjustRightInd w:val="0"/>
        <w:ind w:firstLine="709"/>
        <w:rPr>
          <w:b/>
        </w:rPr>
      </w:pPr>
    </w:p>
    <w:p w:rsidR="002B31D3" w:rsidRDefault="006476B0" w:rsidP="002B31D3">
      <w:pPr>
        <w:tabs>
          <w:tab w:val="num" w:pos="0"/>
          <w:tab w:val="left" w:pos="851"/>
          <w:tab w:val="left" w:pos="1701"/>
        </w:tabs>
        <w:ind w:firstLine="709"/>
        <w:jc w:val="both"/>
      </w:pPr>
      <w:r w:rsidRPr="006476B0">
        <w:tab/>
      </w:r>
      <w:r w:rsidR="002B31D3">
        <w:t>Социальная ответственность Общества является неотъемлемой частью кадровой политики. Основными направлениями социальной политики Общества являются:</w:t>
      </w:r>
    </w:p>
    <w:p w:rsidR="002B31D3" w:rsidRDefault="002B31D3" w:rsidP="002B31D3">
      <w:pPr>
        <w:numPr>
          <w:ilvl w:val="0"/>
          <w:numId w:val="49"/>
        </w:numPr>
        <w:tabs>
          <w:tab w:val="num" w:pos="0"/>
          <w:tab w:val="left" w:pos="851"/>
          <w:tab w:val="left" w:pos="1701"/>
        </w:tabs>
        <w:ind w:firstLine="709"/>
        <w:contextualSpacing/>
        <w:jc w:val="both"/>
      </w:pPr>
      <w:r>
        <w:t>негосударственное пенсионное обеспечение;</w:t>
      </w:r>
    </w:p>
    <w:p w:rsidR="002B31D3" w:rsidRDefault="002B31D3" w:rsidP="002B31D3">
      <w:pPr>
        <w:numPr>
          <w:ilvl w:val="0"/>
          <w:numId w:val="49"/>
        </w:numPr>
        <w:tabs>
          <w:tab w:val="num" w:pos="0"/>
          <w:tab w:val="left" w:pos="851"/>
          <w:tab w:val="left" w:pos="1701"/>
        </w:tabs>
        <w:ind w:firstLine="709"/>
        <w:contextualSpacing/>
        <w:jc w:val="both"/>
      </w:pPr>
      <w:r>
        <w:t>организация культурно - массовых и спортивных мероприятий;</w:t>
      </w:r>
    </w:p>
    <w:p w:rsidR="002B31D3" w:rsidRDefault="002B31D3" w:rsidP="002B31D3">
      <w:pPr>
        <w:numPr>
          <w:ilvl w:val="0"/>
          <w:numId w:val="49"/>
        </w:numPr>
        <w:tabs>
          <w:tab w:val="num" w:pos="0"/>
          <w:tab w:val="left" w:pos="851"/>
          <w:tab w:val="left" w:pos="1701"/>
        </w:tabs>
        <w:ind w:firstLine="709"/>
        <w:contextualSpacing/>
        <w:jc w:val="both"/>
      </w:pPr>
      <w:r>
        <w:t>организация социальных мероприятий для детей сотрудников Общества;</w:t>
      </w:r>
    </w:p>
    <w:p w:rsidR="002B31D3" w:rsidRDefault="002B31D3" w:rsidP="002B31D3">
      <w:pPr>
        <w:numPr>
          <w:ilvl w:val="0"/>
          <w:numId w:val="49"/>
        </w:numPr>
        <w:tabs>
          <w:tab w:val="num" w:pos="0"/>
          <w:tab w:val="left" w:pos="851"/>
          <w:tab w:val="left" w:pos="1701"/>
        </w:tabs>
        <w:ind w:firstLine="709"/>
        <w:contextualSpacing/>
        <w:jc w:val="both"/>
      </w:pPr>
      <w:r>
        <w:t xml:space="preserve">выплата материальной помощи по различным аспектам социальной направленности (вступление в брак, рождение ребенка и т.д.). </w:t>
      </w:r>
    </w:p>
    <w:p w:rsidR="002B31D3" w:rsidRDefault="002B31D3" w:rsidP="002B31D3">
      <w:pPr>
        <w:tabs>
          <w:tab w:val="num" w:pos="0"/>
          <w:tab w:val="left" w:pos="851"/>
          <w:tab w:val="left" w:pos="1701"/>
        </w:tabs>
        <w:ind w:firstLine="709"/>
        <w:jc w:val="both"/>
      </w:pPr>
      <w:r>
        <w:t>В Обществе действует Коллективный договор ОАО «Каббалкэнерго» на 2013-2015 годы, заключенный в полном соответствии с нормами Трудового кодекса Российской Федерации, Отраслевого тарифного соглашения в электроэнергетике Российской Федерации на 2009-2011 годы между  работодателем ОАО «Каббалкэнерго» и работниками, состоящими с ним в трудовых отношениях в лице их полномочных представителей.</w:t>
      </w:r>
    </w:p>
    <w:p w:rsidR="002B31D3" w:rsidRDefault="002B31D3" w:rsidP="002B31D3">
      <w:pPr>
        <w:tabs>
          <w:tab w:val="num" w:pos="0"/>
          <w:tab w:val="left" w:pos="851"/>
          <w:tab w:val="left" w:pos="1701"/>
        </w:tabs>
        <w:ind w:firstLine="709"/>
        <w:jc w:val="both"/>
      </w:pPr>
      <w:r>
        <w:t>Совершенствование системы морального и материального стимулирования персонала было и остается важнейшим направлением деятельности Общества, также большое внимание уделяется обеспечению следующих социальных льгот, предусмотренных Коллективным договором:</w:t>
      </w:r>
    </w:p>
    <w:p w:rsidR="002B31D3" w:rsidRDefault="002B31D3" w:rsidP="002B31D3">
      <w:pPr>
        <w:pStyle w:val="a9"/>
        <w:numPr>
          <w:ilvl w:val="0"/>
          <w:numId w:val="50"/>
        </w:numPr>
        <w:tabs>
          <w:tab w:val="left" w:pos="851"/>
          <w:tab w:val="left" w:pos="1418"/>
          <w:tab w:val="left" w:pos="1701"/>
        </w:tabs>
        <w:ind w:left="0" w:firstLine="1134"/>
        <w:jc w:val="both"/>
      </w:pPr>
      <w:r>
        <w:t>выделение средств на детские новогодние подарки;</w:t>
      </w:r>
    </w:p>
    <w:p w:rsidR="002B31D3" w:rsidRDefault="002B31D3" w:rsidP="002B31D3">
      <w:pPr>
        <w:pStyle w:val="a9"/>
        <w:numPr>
          <w:ilvl w:val="0"/>
          <w:numId w:val="50"/>
        </w:numPr>
        <w:tabs>
          <w:tab w:val="left" w:pos="851"/>
          <w:tab w:val="left" w:pos="1418"/>
          <w:tab w:val="left" w:pos="1701"/>
        </w:tabs>
        <w:ind w:left="0" w:firstLine="1134"/>
        <w:jc w:val="both"/>
      </w:pPr>
      <w:r>
        <w:t>частичная компенсация расходов на содержание в детских дошкольных учреждениях детей отдельных категорий работников, на приобретение путевок с привлечением средств Фонда социального страхования в детские оздоровительные лагеря;</w:t>
      </w:r>
    </w:p>
    <w:p w:rsidR="002B31D3" w:rsidRDefault="002B31D3" w:rsidP="002B31D3">
      <w:pPr>
        <w:pStyle w:val="a9"/>
        <w:numPr>
          <w:ilvl w:val="0"/>
          <w:numId w:val="50"/>
        </w:numPr>
        <w:tabs>
          <w:tab w:val="left" w:pos="851"/>
          <w:tab w:val="left" w:pos="1418"/>
          <w:tab w:val="left" w:pos="1701"/>
        </w:tabs>
        <w:ind w:left="0" w:firstLine="1134"/>
        <w:jc w:val="both"/>
      </w:pPr>
      <w:r>
        <w:t>поощрение работников в связи с профессиональным и государственными праздниками, в связи с юбилейной датой Общества, в связи с юбилейной датой;</w:t>
      </w:r>
    </w:p>
    <w:p w:rsidR="002B31D3" w:rsidRDefault="002B31D3" w:rsidP="002B31D3">
      <w:pPr>
        <w:pStyle w:val="a9"/>
        <w:numPr>
          <w:ilvl w:val="0"/>
          <w:numId w:val="50"/>
        </w:numPr>
        <w:tabs>
          <w:tab w:val="left" w:pos="851"/>
          <w:tab w:val="left" w:pos="1418"/>
          <w:tab w:val="left" w:pos="1701"/>
        </w:tabs>
        <w:ind w:left="0" w:firstLine="1134"/>
        <w:jc w:val="both"/>
      </w:pPr>
      <w:r>
        <w:t>материальная помощь работникам по семейным обстоятельствам;</w:t>
      </w:r>
    </w:p>
    <w:p w:rsidR="002B31D3" w:rsidRDefault="002B31D3" w:rsidP="002B31D3">
      <w:pPr>
        <w:pStyle w:val="a9"/>
        <w:numPr>
          <w:ilvl w:val="0"/>
          <w:numId w:val="50"/>
        </w:numPr>
        <w:tabs>
          <w:tab w:val="left" w:pos="851"/>
          <w:tab w:val="left" w:pos="1418"/>
          <w:tab w:val="left" w:pos="1701"/>
        </w:tabs>
        <w:ind w:left="0" w:firstLine="1134"/>
        <w:jc w:val="both"/>
      </w:pPr>
      <w:r>
        <w:t xml:space="preserve">проведение периодических медицинских осмотров. </w:t>
      </w:r>
    </w:p>
    <w:p w:rsidR="002B31D3" w:rsidRDefault="002B31D3" w:rsidP="002B31D3">
      <w:pPr>
        <w:ind w:firstLine="708"/>
        <w:jc w:val="both"/>
      </w:pPr>
      <w:r>
        <w:t xml:space="preserve">Так, в 2014 году были выплачены единовременные пособия при выходе на пенсию работникам в размере 422 887 (четыреста двадцать две тысячи восемьсот восемьдесят семь) рублей; на рождение ребенка 155 600 (сто пятьдесят пять тысяч шестьсот) рублей; на </w:t>
      </w:r>
      <w:r>
        <w:lastRenderedPageBreak/>
        <w:t>погребение 175 500 (сто семьдесят пять тысяч пятьсот)  рублей и 25 800 (двадцать пять тысяч восемьсот) рублей на регистрацию брака.</w:t>
      </w:r>
    </w:p>
    <w:p w:rsidR="002B31D3" w:rsidRDefault="002B31D3" w:rsidP="002B31D3">
      <w:pPr>
        <w:ind w:firstLine="709"/>
        <w:jc w:val="both"/>
      </w:pPr>
      <w:r>
        <w:t xml:space="preserve">Негосударственное пенсионное обеспечение работников является одним из важных элементов социальной политики сотрудников Общества. Так, с 2010 года в Обществе утверждено и действует Положение о  негосударственном пенсионном обеспечении работников Общества, в рамках которого реализуется Программа «Поддерживающая». Указанная программа предусматривает поддержку работников, выходящих на пенсию за счет средств Общества. </w:t>
      </w:r>
    </w:p>
    <w:p w:rsidR="002B31D3" w:rsidRDefault="002B31D3" w:rsidP="002B31D3">
      <w:pPr>
        <w:ind w:firstLine="708"/>
        <w:jc w:val="both"/>
      </w:pPr>
      <w:r>
        <w:t>Большое внимание уделяется укреплению корпоративного духа. В Обществе непрерывно совершенствуются механизмы социальной поддержки неработающих пенсионеров, участников ВОВ и боевых действий, тружеников тыла в годы ВОВ, которым оказывается адресная материальная поддержка.</w:t>
      </w:r>
    </w:p>
    <w:p w:rsidR="002B31D3" w:rsidRDefault="002B31D3" w:rsidP="002B31D3">
      <w:pPr>
        <w:ind w:firstLine="708"/>
        <w:jc w:val="both"/>
      </w:pPr>
      <w:r>
        <w:t xml:space="preserve">С целью повышения уровня социальной защищенности работников для сотрудников Общества проводятся периодические медицинские осмотры. </w:t>
      </w:r>
    </w:p>
    <w:p w:rsidR="002B31D3" w:rsidRDefault="002B31D3" w:rsidP="002B31D3">
      <w:pPr>
        <w:ind w:firstLine="708"/>
        <w:jc w:val="both"/>
      </w:pPr>
      <w:r>
        <w:t>Количество работников Общества, застрахованных по программам добровольного медицинского страхования и страхования от несчастных случаев составляет 100%.</w:t>
      </w:r>
    </w:p>
    <w:p w:rsidR="002B31D3" w:rsidRDefault="002B31D3" w:rsidP="002B31D3">
      <w:pPr>
        <w:ind w:firstLine="708"/>
        <w:jc w:val="both"/>
      </w:pPr>
      <w:r>
        <w:t xml:space="preserve">Работа по охране труда в ОАО «Каббалкэнерго» в 2014 году проводилась  в соответствии с трудовым законодательством, нормативными актами по охране труда РФ, коллективным договором, локальными нормативными актами ОАО «Каббалкэнерго» при взаимодействии с профсоюзной организацией. </w:t>
      </w:r>
    </w:p>
    <w:p w:rsidR="002B31D3" w:rsidRDefault="002B31D3" w:rsidP="002B31D3">
      <w:pPr>
        <w:ind w:firstLine="708"/>
        <w:jc w:val="both"/>
      </w:pPr>
      <w:r>
        <w:t>На мероприятия по пожарной безопасности и улучшению условий охраны труда в 2014 году расходовано 320 000 руб.</w:t>
      </w:r>
    </w:p>
    <w:p w:rsidR="002B31D3" w:rsidRDefault="002B31D3" w:rsidP="002B31D3">
      <w:pPr>
        <w:ind w:firstLine="708"/>
        <w:jc w:val="both"/>
      </w:pPr>
      <w:r>
        <w:t xml:space="preserve">Для обеспечения выполнения требований по безопасным условиям труда, в Обществе и подразделениях проводилось обучение, проверка знаний по охране труда, все виды инструктажей. </w:t>
      </w:r>
    </w:p>
    <w:p w:rsidR="002B31D3" w:rsidRDefault="002B31D3" w:rsidP="002B31D3">
      <w:pPr>
        <w:ind w:firstLine="709"/>
        <w:jc w:val="both"/>
      </w:pPr>
      <w:r>
        <w:t xml:space="preserve">С целью пропаганды активного отдыха и здорового образа жизни в                     ОАО «Каббалкэнерго» проводятся культмассовые и спортивно-оздоровительные мероприятия. Арендуются помещения для занятий физкультурой и спортом. Ежегодно в Обществе проводятся спортивные соревнования, спартакиады, посвященные Дню энергетика. Соревнования проводятся по  различным видам спорта: настольный теннис, шахматы, шашки, боулинг. </w:t>
      </w:r>
    </w:p>
    <w:p w:rsidR="002B31D3" w:rsidRDefault="002B31D3" w:rsidP="002B31D3">
      <w:pPr>
        <w:ind w:firstLine="709"/>
        <w:jc w:val="both"/>
      </w:pPr>
      <w:r>
        <w:t>В 2014 г. разного уровня наград было удостоено 10 работников Общества, в том числе:</w:t>
      </w:r>
    </w:p>
    <w:p w:rsidR="002B31D3" w:rsidRDefault="002B31D3" w:rsidP="002B31D3">
      <w:pPr>
        <w:ind w:firstLine="709"/>
        <w:jc w:val="both"/>
      </w:pPr>
      <w:r>
        <w:rPr>
          <w:b/>
        </w:rPr>
        <w:t xml:space="preserve">· </w:t>
      </w:r>
      <w:r>
        <w:t>4 работника награждены ведомственными наградами Министерства энергетики РФ;</w:t>
      </w:r>
    </w:p>
    <w:p w:rsidR="002B31D3" w:rsidRDefault="002B31D3" w:rsidP="002B31D3">
      <w:pPr>
        <w:ind w:firstLine="709"/>
        <w:jc w:val="both"/>
      </w:pPr>
      <w:r>
        <w:t>• 3 работника - корпоративными наградами ОАО «Россети»;</w:t>
      </w:r>
    </w:p>
    <w:p w:rsidR="002B31D3" w:rsidRDefault="002B31D3" w:rsidP="002B31D3">
      <w:pPr>
        <w:ind w:firstLine="709"/>
        <w:jc w:val="both"/>
      </w:pPr>
      <w:r>
        <w:t>• 3 работника – корпоративными наградами ОАО «Каббалкэнерго».</w:t>
      </w:r>
    </w:p>
    <w:p w:rsidR="002B31D3" w:rsidRDefault="002B31D3" w:rsidP="002B31D3">
      <w:pPr>
        <w:ind w:firstLine="709"/>
        <w:jc w:val="both"/>
      </w:pPr>
      <w:r>
        <w:t>Обществом совместно с профсоюзным комитетом была проведена  благотворительная акция «Подари детям свет и тепло», в рамках которой Республиканскому специализированному Дому ребенка было подарено электрооборудование. В рамках социальной акции «Спортивное лето – детям», приуроченной ко Дню защиты детей воспитанники школы интерната для детей сирот и детей, оставшиеся без попечения родителей, с. Кременчуг-Константиновское Баксанского района получили в подарок спортивный инвентарь.</w:t>
      </w:r>
      <w:r>
        <w:rPr>
          <w:rFonts w:eastAsia="Calibri"/>
          <w:lang w:eastAsia="en-US"/>
        </w:rPr>
        <w:t xml:space="preserve"> К началу учебного года</w:t>
      </w:r>
      <w:r>
        <w:t xml:space="preserve"> кадетской школе-интернату с. Бабугент Черекского района</w:t>
      </w:r>
      <w:r>
        <w:rPr>
          <w:rFonts w:eastAsia="Calibri"/>
          <w:lang w:eastAsia="en-US"/>
        </w:rPr>
        <w:t xml:space="preserve"> подарили к</w:t>
      </w:r>
      <w:r>
        <w:t>омплект электронной звуковой аппаратуры для проведения массовых мероприятий. В рамках благотворительной акции «Чужой беды не бывает», сотрудники Общества организовали сбор средств для 4-летней девочки больной ДЦП, необходимых для повторного курса лечения в специализированной клинике Китая.</w:t>
      </w:r>
    </w:p>
    <w:p w:rsidR="006476B0" w:rsidRDefault="002B31D3" w:rsidP="002B31D3">
      <w:pPr>
        <w:tabs>
          <w:tab w:val="num" w:pos="0"/>
          <w:tab w:val="left" w:pos="851"/>
        </w:tabs>
        <w:jc w:val="both"/>
      </w:pPr>
      <w:r>
        <w:t xml:space="preserve">В соответствии с утвержденным Положением о порядке проведения внутрикорпоративных мотивационных конкурсов в формате «Лучший по профессии», в 2014 году были </w:t>
      </w:r>
      <w:r>
        <w:lastRenderedPageBreak/>
        <w:t>проведены конкурсные мероприятия и определены победители в номинации «Лучшее энергосбытовое отделение», «Лучший начальник энергосбытового отделения».</w:t>
      </w:r>
    </w:p>
    <w:p w:rsidR="0006519C" w:rsidRDefault="0006519C" w:rsidP="005358F6">
      <w:pPr>
        <w:ind w:firstLine="709"/>
        <w:jc w:val="both"/>
      </w:pPr>
    </w:p>
    <w:p w:rsidR="007D3090" w:rsidRPr="00BB53EC" w:rsidRDefault="007D3090" w:rsidP="007D3090">
      <w:pPr>
        <w:jc w:val="center"/>
        <w:rPr>
          <w:b/>
          <w:sz w:val="28"/>
          <w:szCs w:val="20"/>
        </w:rPr>
      </w:pPr>
      <w:r w:rsidRPr="00BB53EC">
        <w:rPr>
          <w:b/>
          <w:sz w:val="28"/>
        </w:rPr>
        <w:t>6.6.</w:t>
      </w:r>
      <w:r w:rsidRPr="00BB53EC">
        <w:rPr>
          <w:b/>
          <w:sz w:val="28"/>
          <w:szCs w:val="20"/>
        </w:rPr>
        <w:t xml:space="preserve"> Ключевые показатели эффективности</w:t>
      </w:r>
    </w:p>
    <w:p w:rsidR="007D3090" w:rsidRPr="007D3090" w:rsidRDefault="007D3090" w:rsidP="007D3090">
      <w:pPr>
        <w:suppressAutoHyphens/>
        <w:snapToGrid w:val="0"/>
        <w:ind w:left="1207" w:firstLine="720"/>
        <w:contextualSpacing/>
        <w:rPr>
          <w:b/>
          <w:sz w:val="10"/>
          <w:szCs w:val="10"/>
          <w:highlight w:val="yellow"/>
        </w:rPr>
      </w:pPr>
    </w:p>
    <w:p w:rsidR="007D3090" w:rsidRPr="007D3090" w:rsidRDefault="007D3090" w:rsidP="007D3090">
      <w:pPr>
        <w:ind w:firstLine="567"/>
        <w:jc w:val="both"/>
      </w:pPr>
      <w:r w:rsidRPr="007D3090">
        <w:t xml:space="preserve">Система ключевых показателей эффективности Генерального директора Общества установлена на основании </w:t>
      </w:r>
    </w:p>
    <w:p w:rsidR="007D3090" w:rsidRPr="007D3090" w:rsidRDefault="007D3090" w:rsidP="007D3090">
      <w:pPr>
        <w:ind w:firstLine="567"/>
        <w:jc w:val="both"/>
        <w:rPr>
          <w:szCs w:val="20"/>
        </w:rPr>
      </w:pPr>
      <w:r w:rsidRPr="007D3090">
        <w:t>- подпункта 48 пункта 15.1 статьи 15 Устава ОАО «Каббалкэнерго»;</w:t>
      </w:r>
    </w:p>
    <w:p w:rsidR="007D3090" w:rsidRPr="007D3090" w:rsidRDefault="007D3090" w:rsidP="007D3090">
      <w:pPr>
        <w:ind w:firstLine="567"/>
        <w:jc w:val="both"/>
      </w:pPr>
      <w:r w:rsidRPr="007D3090">
        <w:t>- решения Совета директоров Общества от 31.01.2014 (протокол №128 от 03.02.2014) по вопросу №3 «О внесении изменений в состав ключевых показателей эффективности (КПЭ) для Генерального директора и Высших менеджеров Общества и об утверждении методики расчета, оценки выполнения и целевого значения КПЭ «Расчет с поставщиками оптового рынка электроэнергии» для Генерального директора и Высших менеджеров Общества».</w:t>
      </w:r>
    </w:p>
    <w:p w:rsidR="007D3090" w:rsidRPr="007D3090" w:rsidRDefault="007D3090" w:rsidP="007D3090">
      <w:pPr>
        <w:autoSpaceDE w:val="0"/>
        <w:autoSpaceDN w:val="0"/>
        <w:adjustRightInd w:val="0"/>
        <w:ind w:firstLine="708"/>
        <w:jc w:val="both"/>
      </w:pPr>
      <w:r w:rsidRPr="007D3090">
        <w:t>Система КПЭ Общества отражает реализацию целей и задач Стратегии развития электросетевого комплекса, утвержденной распоряжением Правительства Российской Федерации от 03.04.2013 № 511-р. Основными целевыми ориентирами, учитываемыми в системе КПЭ Генерального директора Общества являются:</w:t>
      </w:r>
    </w:p>
    <w:p w:rsidR="007D3090" w:rsidRPr="007D3090" w:rsidRDefault="007D3090" w:rsidP="007D3090">
      <w:pPr>
        <w:autoSpaceDE w:val="0"/>
        <w:autoSpaceDN w:val="0"/>
        <w:adjustRightInd w:val="0"/>
        <w:ind w:left="709"/>
        <w:jc w:val="both"/>
      </w:pPr>
      <w:r w:rsidRPr="007D3090">
        <w:t>- повышение надежности и качества энергоснабжения;</w:t>
      </w:r>
    </w:p>
    <w:p w:rsidR="007D3090" w:rsidRPr="007D3090" w:rsidRDefault="007D3090" w:rsidP="007D3090">
      <w:pPr>
        <w:autoSpaceDE w:val="0"/>
        <w:autoSpaceDN w:val="0"/>
        <w:adjustRightInd w:val="0"/>
        <w:ind w:left="709"/>
        <w:jc w:val="both"/>
      </w:pPr>
      <w:r w:rsidRPr="007D3090">
        <w:t>- увеличение безопасности энергоснабжения;</w:t>
      </w:r>
    </w:p>
    <w:p w:rsidR="007D3090" w:rsidRPr="007D3090" w:rsidRDefault="007D3090" w:rsidP="00C13ACC">
      <w:pPr>
        <w:autoSpaceDE w:val="0"/>
        <w:autoSpaceDN w:val="0"/>
        <w:adjustRightInd w:val="0"/>
        <w:ind w:left="709"/>
        <w:jc w:val="both"/>
      </w:pPr>
      <w:r w:rsidRPr="007D3090">
        <w:t xml:space="preserve">- снижение </w:t>
      </w:r>
      <w:r w:rsidR="00C13ACC">
        <w:t>операционных затрат</w:t>
      </w:r>
      <w:r w:rsidRPr="007D3090">
        <w:t xml:space="preserve">. </w:t>
      </w:r>
    </w:p>
    <w:p w:rsidR="007D3090" w:rsidRDefault="007D3090" w:rsidP="007D3090">
      <w:pPr>
        <w:spacing w:after="240"/>
        <w:ind w:firstLine="709"/>
        <w:contextualSpacing/>
        <w:jc w:val="both"/>
      </w:pPr>
    </w:p>
    <w:p w:rsidR="007D3090" w:rsidRPr="007D3090" w:rsidRDefault="007D3090" w:rsidP="007D3090">
      <w:pPr>
        <w:spacing w:after="240"/>
        <w:ind w:firstLine="709"/>
        <w:contextualSpacing/>
        <w:jc w:val="both"/>
      </w:pPr>
      <w:r w:rsidRPr="007D3090">
        <w:t>В 2014 году применялся следующий состав КПЭ:</w:t>
      </w:r>
    </w:p>
    <w:p w:rsidR="007D3090" w:rsidRPr="007D3090" w:rsidRDefault="007D3090" w:rsidP="007D3090">
      <w:pPr>
        <w:ind w:firstLine="709"/>
        <w:jc w:val="both"/>
        <w:rPr>
          <w:b/>
        </w:rPr>
      </w:pPr>
      <w:r w:rsidRPr="007D3090">
        <w:rPr>
          <w:b/>
        </w:rPr>
        <w:t>Годовые КПЭ:</w:t>
      </w:r>
    </w:p>
    <w:p w:rsidR="007D3090" w:rsidRPr="007D3090" w:rsidRDefault="007D3090" w:rsidP="007D3090">
      <w:pPr>
        <w:ind w:firstLine="709"/>
        <w:jc w:val="both"/>
      </w:pPr>
      <w:r w:rsidRPr="007D3090">
        <w:t>1. Рентабельность собственного капитала (ROE), обеспеченная денежным потоком;</w:t>
      </w:r>
    </w:p>
    <w:p w:rsidR="007D3090" w:rsidRPr="007D3090" w:rsidRDefault="007D3090" w:rsidP="007D3090">
      <w:pPr>
        <w:ind w:firstLine="709"/>
        <w:jc w:val="both"/>
      </w:pPr>
      <w:r w:rsidRPr="007D3090">
        <w:t xml:space="preserve">2. Оплата поставленной электроэнергии. </w:t>
      </w:r>
    </w:p>
    <w:p w:rsidR="007D3090" w:rsidRPr="007D3090" w:rsidRDefault="007D3090" w:rsidP="007D3090">
      <w:pPr>
        <w:ind w:firstLine="709"/>
        <w:jc w:val="both"/>
        <w:rPr>
          <w:b/>
        </w:rPr>
      </w:pPr>
      <w:r w:rsidRPr="007D3090">
        <w:rPr>
          <w:b/>
        </w:rPr>
        <w:t>Квартальные КПЭ:</w:t>
      </w:r>
    </w:p>
    <w:p w:rsidR="007D3090" w:rsidRPr="007D3090" w:rsidRDefault="007D3090" w:rsidP="007D3090">
      <w:pPr>
        <w:ind w:firstLine="709"/>
        <w:jc w:val="both"/>
      </w:pPr>
      <w:r w:rsidRPr="007D3090">
        <w:t>1. Коэффициент срочной ликвидности;</w:t>
      </w:r>
    </w:p>
    <w:p w:rsidR="007D3090" w:rsidRPr="007D3090" w:rsidRDefault="007D3090" w:rsidP="007D3090">
      <w:pPr>
        <w:jc w:val="both"/>
      </w:pPr>
      <w:r w:rsidRPr="007D3090">
        <w:t xml:space="preserve">            2. Процент оплаты услуг по передаче электроэнергии (нарастающим итогом).</w:t>
      </w:r>
    </w:p>
    <w:p w:rsidR="007D3090" w:rsidRPr="007D3090" w:rsidRDefault="007D3090" w:rsidP="007D3090">
      <w:pPr>
        <w:ind w:firstLine="709"/>
        <w:jc w:val="both"/>
      </w:pPr>
      <w:r w:rsidRPr="007D3090">
        <w:t>3. Расчеты с поставщиками оптового рынка электроэнергии.</w:t>
      </w:r>
    </w:p>
    <w:p w:rsidR="007D3090" w:rsidRDefault="007D3090" w:rsidP="007D3090">
      <w:pPr>
        <w:autoSpaceDE w:val="0"/>
        <w:autoSpaceDN w:val="0"/>
        <w:adjustRightInd w:val="0"/>
        <w:ind w:firstLine="708"/>
        <w:jc w:val="both"/>
      </w:pPr>
    </w:p>
    <w:p w:rsidR="007D3090" w:rsidRPr="007D3090" w:rsidRDefault="007D3090" w:rsidP="007D3090">
      <w:pPr>
        <w:autoSpaceDE w:val="0"/>
        <w:autoSpaceDN w:val="0"/>
        <w:adjustRightInd w:val="0"/>
        <w:ind w:firstLine="708"/>
        <w:jc w:val="both"/>
      </w:pPr>
      <w:r w:rsidRPr="007D3090">
        <w:t>Утвержденные целевые значения годовых КПЭ за 2014 год достигнуты частично. Индекс выполнения годовых КПЭ равен 50%, квартальных – 100 %.</w:t>
      </w:r>
    </w:p>
    <w:p w:rsidR="0006519C" w:rsidRDefault="007D3090" w:rsidP="007D3090">
      <w:pPr>
        <w:ind w:firstLine="720"/>
        <w:jc w:val="both"/>
      </w:pPr>
      <w:r w:rsidRPr="007D3090">
        <w:t>Невыполнение КПЭ «Оплата поставленной электроэнергии» за 12 месяцев 2014 года (96,7)</w:t>
      </w:r>
      <w:r w:rsidRPr="007D3090">
        <w:rPr>
          <w:b/>
        </w:rPr>
        <w:t xml:space="preserve"> </w:t>
      </w:r>
      <w:r w:rsidRPr="007D3090">
        <w:t>обусловлено неплатежами со стороны проблемных потребителей жилищно-коммунального хозяйства (предприятия водоканала и теплоэнерго), в частности МУП «УК Водоканал» г.Нальчик, недоплатившего 73,8 млн.руб.,</w:t>
      </w:r>
      <w:r w:rsidRPr="007D3090">
        <w:rPr>
          <w:szCs w:val="20"/>
        </w:rPr>
        <w:t xml:space="preserve"> </w:t>
      </w:r>
      <w:r w:rsidRPr="007D3090">
        <w:t>ОАО «Теплоэнергетическая компания» г. Нальчик – 21,7 млн.руб., а также неплатежами со стороны сетевой организации ОАО «МРСК «Северного Кавказа», недоплата по которой составила 23,5 млн.руб.</w:t>
      </w:r>
    </w:p>
    <w:p w:rsidR="007D3090" w:rsidRDefault="007D3090" w:rsidP="007D3090">
      <w:pPr>
        <w:ind w:firstLine="720"/>
        <w:jc w:val="both"/>
      </w:pPr>
    </w:p>
    <w:p w:rsidR="00117116" w:rsidRDefault="00117116" w:rsidP="000C0284">
      <w:pPr>
        <w:spacing w:line="180" w:lineRule="atLeast"/>
        <w:jc w:val="center"/>
        <w:textAlignment w:val="baseline"/>
        <w:outlineLvl w:val="1"/>
        <w:rPr>
          <w:b/>
        </w:rPr>
      </w:pPr>
    </w:p>
    <w:p w:rsidR="000C0284" w:rsidRPr="00BB53EC" w:rsidRDefault="000C0284" w:rsidP="000C0284">
      <w:pPr>
        <w:spacing w:line="180" w:lineRule="atLeast"/>
        <w:jc w:val="center"/>
        <w:textAlignment w:val="baseline"/>
        <w:outlineLvl w:val="1"/>
        <w:rPr>
          <w:b/>
          <w:sz w:val="28"/>
        </w:rPr>
      </w:pPr>
      <w:r w:rsidRPr="00BB53EC">
        <w:rPr>
          <w:b/>
          <w:sz w:val="28"/>
        </w:rPr>
        <w:t>6.7. Экологическая политика Общества</w:t>
      </w:r>
    </w:p>
    <w:p w:rsidR="000C0284" w:rsidRPr="000C0284" w:rsidRDefault="000C0284" w:rsidP="000C0284">
      <w:pPr>
        <w:spacing w:line="180" w:lineRule="atLeast"/>
        <w:jc w:val="center"/>
        <w:textAlignment w:val="baseline"/>
        <w:outlineLvl w:val="1"/>
        <w:rPr>
          <w:rFonts w:ascii="Tahoma" w:hAnsi="Tahoma" w:cs="Tahoma"/>
        </w:rPr>
      </w:pP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Экологическая политика ОАО «Каббалкэнерго» разработана в соответствии с экологической доктриной, основами государственной политики в области экологического развития Российской Федерации, стратегией государства в области экологической безопасности и рационального использования природных ресурсов. Данная Политика базируется на федеральных законах и иных нормативных правовых актах, международных обязательствах Российской Федерации в области охраны окружающей среды и является единой для всех структурных подразделений  Общества, осуществляющих сбыт электрической энергии на территории Кабардино-Балкарской Республики.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lastRenderedPageBreak/>
        <w:t>Экологическая политика ОАО «Каббалкэнерго» определяет принципы, цели, задачи и основные направления деятельности общества в области охраны окружающей среды и обеспечения экологической безопасности в регионе.</w:t>
      </w:r>
    </w:p>
    <w:p w:rsidR="000C0284" w:rsidRPr="000C0284" w:rsidRDefault="000C0284" w:rsidP="000C0284">
      <w:pPr>
        <w:ind w:firstLine="709"/>
        <w:jc w:val="both"/>
        <w:textAlignment w:val="baseline"/>
        <w:rPr>
          <w:rFonts w:ascii="inherit" w:hAnsi="inherit" w:cs="Tahoma"/>
          <w:bCs/>
          <w:bdr w:val="none" w:sz="0" w:space="0" w:color="auto" w:frame="1"/>
        </w:rPr>
      </w:pPr>
      <w:r w:rsidRPr="000C0284">
        <w:rPr>
          <w:rFonts w:ascii="inherit" w:hAnsi="inherit" w:cs="Tahoma"/>
          <w:bCs/>
          <w:bdr w:val="none" w:sz="0" w:space="0" w:color="auto" w:frame="1"/>
        </w:rPr>
        <w:t>Основополагающими принципами экологической политики ОАО «Каббалкэнерго» являются:</w:t>
      </w:r>
    </w:p>
    <w:p w:rsidR="000C0284" w:rsidRPr="000C0284" w:rsidRDefault="000C0284" w:rsidP="000C0284">
      <w:pPr>
        <w:ind w:firstLine="709"/>
        <w:jc w:val="both"/>
        <w:textAlignment w:val="baseline"/>
        <w:rPr>
          <w:rFonts w:ascii="inherit" w:hAnsi="inherit" w:cs="Tahoma"/>
        </w:rPr>
      </w:pPr>
      <w:r w:rsidRPr="000C0284">
        <w:rPr>
          <w:rFonts w:ascii="inherit" w:hAnsi="inherit" w:cs="Tahoma"/>
          <w:bCs/>
          <w:bdr w:val="none" w:sz="0" w:space="0" w:color="auto" w:frame="1"/>
        </w:rPr>
        <w:t>- п</w:t>
      </w:r>
      <w:r w:rsidRPr="000C0284">
        <w:rPr>
          <w:rFonts w:ascii="inherit" w:hAnsi="inherit" w:cs="Tahoma"/>
        </w:rPr>
        <w:t>ризнание конституционного права человека на благоприятную окружающую среду;</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учет приоритета экологической безопасности как составной части национальной безопасности;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выполнение требований российского природоохранного законодательства;</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xml:space="preserve">- ответственность за обеспечение охраны окружающей среды при развитии электроэнергетики в Кабардино-Балкарской республике; </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сокращение образования отходов производства и экологически безопасное обращение с ними;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энергосбережение и рациональное использование природных и энергетических ресурсов при ведении производственной и хозяйственной деятельности;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приоритет принятия предупредительных мер над мерами по ликвидации негативных воздействий на окружающую среду;</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xml:space="preserve">- открытость и доступность экологической информации, информирование заинтересованных сторон о произошедших авариях, их экологических последствиях и мерах по их ликвидации.  </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Целью экологической политики ОАО «Каббалкэнерго» является минимизация негативного воздействия на окружающую среду при осуществлении своей непосредственной деятельности в области сбыта электрической энергии, а также повышение уровня экологической безопасности за счет обеспечения надежного и экологически безопасного ведения хозяйственной деятельности, рационального использования транспортных средств, комплексного подхода к использованию природных  ресурсов.</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Достижение поставленной цели предусматривается на основе решения следующих задач:</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экономное потребление природных ресурсов и повышение эффективности использования этих ресурсов;</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снижение объемов выбросов вредных веществ в атмосферу;</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сокращение образования производственных отходов и обеспечение безопасного обращения с ними;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реализация мероприятий по передаче производственных и бытовых отходов другим предприятиям для утилизации и захоронения;</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вовлечение всего персонала общества в достижение экологических целей и задач через регулярное обсуждение экологических вопросов, поощрение экологических инициатив;</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сотрудничество на партнерских позициях с компаниями, разделяющими взгляды общества в области охраны окружающей среды;</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участие в формировании экологической культуры региона, создание доверительных  и открытых отношений с общественностью, поддержка государственных инициатив, направленных на защиту окружающей среды;</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соблюдение природоохранного законодательства Российской Федерации;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вовлечение сотрудников общества в деятельность по уменьшению экологических рисков, улучшению показателей воздействия на компоненты окружающей среды и обеспечению рационального природопользования;</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xml:space="preserve">- поддержка плодотворного сотрудничества с российскими правительственными и неправительственными организациями, научными и образовательными учреждениями, </w:t>
      </w:r>
      <w:r w:rsidRPr="000C0284">
        <w:rPr>
          <w:rFonts w:ascii="inherit" w:hAnsi="inherit" w:cs="Tahoma"/>
        </w:rPr>
        <w:lastRenderedPageBreak/>
        <w:t>эффективно работающими в области охраны окружающей среды и рационального природопользования;</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формирование и поддержание имиджа ОАО «Каббалкэнерго» как социально ответственной и экологически ориентированной компании;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 xml:space="preserve">- обеспечение общей доступности настоящей Политики для сотрудников общества и всех заинтересованных лиц.    </w:t>
      </w:r>
    </w:p>
    <w:p w:rsidR="000C0284" w:rsidRPr="000C0284" w:rsidRDefault="000C0284" w:rsidP="000C0284">
      <w:pPr>
        <w:ind w:firstLine="709"/>
        <w:jc w:val="both"/>
        <w:textAlignment w:val="baseline"/>
        <w:rPr>
          <w:rFonts w:ascii="inherit" w:hAnsi="inherit" w:cs="Tahoma"/>
        </w:rPr>
      </w:pPr>
      <w:r w:rsidRPr="000C0284">
        <w:rPr>
          <w:rFonts w:ascii="inherit" w:hAnsi="inherit" w:cs="Tahoma"/>
          <w:bCs/>
          <w:bdr w:val="none" w:sz="0" w:space="0" w:color="auto" w:frame="1"/>
        </w:rPr>
        <w:t xml:space="preserve"> Реализация экологической политики позволит с</w:t>
      </w:r>
      <w:r w:rsidRPr="000C0284">
        <w:rPr>
          <w:rFonts w:ascii="inherit" w:hAnsi="inherit" w:cs="Tahoma"/>
        </w:rPr>
        <w:t>низить негативное воздействие на окружающую среду, а также повысить уровень социальной ответственности ОАО «Каббалкэнерго».</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Энергосбытовая деятельность ОАО «Каббалкэнерго» не предполагает сверхнормативного образования отходов, выбросов в атмосферу, технологического забора воды из источников и сброса загрязненной воды. Основными отходами являются твердые бытовые отходы, а также отходы, образуемые в результате обслуживания служебного автотранспорта. В целях охраны атмосферного воздуха от выбросов загрязняющих веществ автотранспортом, своевременно выполняется ремонт узлов и агрегатов двигателей автомашин, влияющих на токсичность и дымность отработанных газов. Другие отходы от автотранспорта систематически утилизируются по договорам со сторонними организациями.</w:t>
      </w:r>
    </w:p>
    <w:p w:rsidR="000C0284" w:rsidRPr="000C0284" w:rsidRDefault="000C0284" w:rsidP="000C0284">
      <w:pPr>
        <w:ind w:firstLine="709"/>
        <w:jc w:val="both"/>
        <w:textAlignment w:val="baseline"/>
        <w:rPr>
          <w:rFonts w:ascii="inherit" w:hAnsi="inherit" w:cs="Tahoma"/>
        </w:rPr>
      </w:pPr>
      <w:r w:rsidRPr="000C0284">
        <w:rPr>
          <w:rFonts w:ascii="inherit" w:hAnsi="inherit" w:cs="Tahoma"/>
        </w:rPr>
        <w:t>Разработаны и согласованы с УТЭН «Ростехнадзор» нормативы образования отходов и лимиты на их размещение, проведена паспортизация отходов. Имеются оборудованные площадки для размещения контейнеров для сбора мусора. Заключены и ежегодно пролонгируются договоры на вывоз твердых бытовых отходов и утилизацию люминесцентных ламп.</w:t>
      </w:r>
    </w:p>
    <w:p w:rsidR="000C0284" w:rsidRDefault="000C0284" w:rsidP="000C0284">
      <w:pPr>
        <w:ind w:firstLine="709"/>
        <w:jc w:val="both"/>
        <w:textAlignment w:val="baseline"/>
        <w:rPr>
          <w:rFonts w:ascii="inherit" w:hAnsi="inherit" w:cs="Tahoma"/>
        </w:rPr>
      </w:pPr>
      <w:r w:rsidRPr="000C0284">
        <w:rPr>
          <w:rFonts w:ascii="inherit" w:hAnsi="inherit" w:cs="Tahoma"/>
        </w:rPr>
        <w:t>В соответствии с утвержденными документами и расчетом ежеквартально осуществляются экологические платежи. В 2014 году сумма экологических платежей составила 32,5 тыс. рублей.</w:t>
      </w:r>
    </w:p>
    <w:p w:rsidR="00120AF7" w:rsidRPr="00AA305C" w:rsidRDefault="00120AF7" w:rsidP="000C0284">
      <w:pPr>
        <w:ind w:firstLine="709"/>
        <w:jc w:val="both"/>
        <w:textAlignment w:val="baseline"/>
        <w:rPr>
          <w:rFonts w:ascii="inherit" w:hAnsi="inherit" w:cs="Tahoma"/>
          <w:sz w:val="26"/>
        </w:rPr>
      </w:pPr>
    </w:p>
    <w:p w:rsidR="00486700" w:rsidRPr="00AA305C" w:rsidRDefault="00120AF7" w:rsidP="00486700">
      <w:pPr>
        <w:jc w:val="center"/>
        <w:rPr>
          <w:rFonts w:eastAsiaTheme="minorHAnsi"/>
          <w:b/>
          <w:sz w:val="28"/>
          <w:szCs w:val="28"/>
          <w:lang w:eastAsia="en-US"/>
        </w:rPr>
      </w:pPr>
      <w:r w:rsidRPr="00AA305C">
        <w:rPr>
          <w:rFonts w:eastAsiaTheme="minorHAnsi"/>
          <w:b/>
          <w:sz w:val="28"/>
          <w:szCs w:val="28"/>
          <w:lang w:eastAsia="en-US"/>
        </w:rPr>
        <w:t xml:space="preserve">6.8. Связи с общественностью, органами государственной власти и </w:t>
      </w:r>
    </w:p>
    <w:p w:rsidR="00120AF7" w:rsidRPr="00AA305C" w:rsidRDefault="00120AF7" w:rsidP="00486700">
      <w:pPr>
        <w:jc w:val="center"/>
        <w:rPr>
          <w:rFonts w:eastAsiaTheme="minorHAnsi"/>
          <w:b/>
          <w:sz w:val="28"/>
          <w:szCs w:val="28"/>
          <w:lang w:eastAsia="en-US"/>
        </w:rPr>
      </w:pPr>
      <w:r w:rsidRPr="00AA305C">
        <w:rPr>
          <w:rFonts w:eastAsiaTheme="minorHAnsi"/>
          <w:b/>
          <w:sz w:val="28"/>
          <w:szCs w:val="28"/>
          <w:lang w:eastAsia="en-US"/>
        </w:rPr>
        <w:t>средствами массовой информации</w:t>
      </w:r>
    </w:p>
    <w:p w:rsidR="00486700" w:rsidRDefault="00486700" w:rsidP="00486700">
      <w:pPr>
        <w:ind w:firstLine="709"/>
        <w:jc w:val="both"/>
        <w:rPr>
          <w:rFonts w:eastAsiaTheme="minorHAnsi"/>
          <w:lang w:eastAsia="en-US"/>
        </w:rPr>
      </w:pPr>
    </w:p>
    <w:p w:rsidR="00120AF7" w:rsidRPr="00120AF7" w:rsidRDefault="00120AF7" w:rsidP="00BC3A27">
      <w:pPr>
        <w:ind w:firstLine="709"/>
        <w:jc w:val="both"/>
        <w:rPr>
          <w:rFonts w:eastAsiaTheme="minorHAnsi"/>
          <w:lang w:eastAsia="en-US"/>
        </w:rPr>
      </w:pPr>
      <w:r w:rsidRPr="00120AF7">
        <w:rPr>
          <w:rFonts w:eastAsiaTheme="minorHAnsi"/>
          <w:lang w:eastAsia="en-US"/>
        </w:rPr>
        <w:t>ОАО «Каббалкэнерго» в 2014 году строило свою работу по связям с общественностью,</w:t>
      </w:r>
      <w:r w:rsidRPr="00120AF7">
        <w:rPr>
          <w:rFonts w:asciiTheme="minorHAnsi" w:eastAsiaTheme="minorHAnsi" w:hAnsiTheme="minorHAnsi" w:cstheme="minorBidi"/>
          <w:lang w:eastAsia="en-US"/>
        </w:rPr>
        <w:t xml:space="preserve"> </w:t>
      </w:r>
      <w:r w:rsidRPr="00120AF7">
        <w:rPr>
          <w:rFonts w:eastAsiaTheme="minorHAnsi"/>
          <w:lang w:eastAsia="en-US"/>
        </w:rPr>
        <w:t>органами государственной власти и средствами массовой информации в рамках единой информационной политики гарантирующих поставщиков СКФО и Республики Калмыкия ДЗО ОАО «Россети».</w:t>
      </w:r>
    </w:p>
    <w:p w:rsidR="00120AF7" w:rsidRPr="00120AF7" w:rsidRDefault="00120AF7" w:rsidP="00BC3A27">
      <w:pPr>
        <w:ind w:firstLine="708"/>
        <w:jc w:val="both"/>
        <w:rPr>
          <w:rFonts w:eastAsiaTheme="minorHAnsi" w:cstheme="minorBidi"/>
          <w:lang w:eastAsia="en-US"/>
        </w:rPr>
      </w:pPr>
      <w:r w:rsidRPr="00120AF7">
        <w:rPr>
          <w:rFonts w:eastAsiaTheme="minorHAnsi"/>
          <w:lang w:eastAsia="en-US"/>
        </w:rPr>
        <w:t>В 2014 году, в рамках взаимодействия с органами власти, состоялись встречи управляющего директора ОАО «Каббалкэнерго» Аслана Докшукина</w:t>
      </w:r>
      <w:r w:rsidRPr="00120AF7">
        <w:rPr>
          <w:rFonts w:eastAsiaTheme="minorHAnsi" w:cstheme="minorBidi"/>
          <w:lang w:eastAsia="en-US"/>
        </w:rPr>
        <w:t xml:space="preserve"> с Председателем Правительства КБР Алием Мусуковым и</w:t>
      </w:r>
      <w:r w:rsidRPr="00120AF7">
        <w:rPr>
          <w:rFonts w:asciiTheme="minorHAnsi" w:eastAsiaTheme="minorHAnsi" w:hAnsiTheme="minorHAnsi" w:cstheme="minorBidi"/>
          <w:lang w:eastAsia="en-US"/>
        </w:rPr>
        <w:t xml:space="preserve"> </w:t>
      </w:r>
      <w:r w:rsidRPr="00120AF7">
        <w:rPr>
          <w:rFonts w:eastAsiaTheme="minorHAnsi" w:cstheme="minorBidi"/>
          <w:lang w:eastAsia="en-US"/>
        </w:rPr>
        <w:t xml:space="preserve">министром строительства и жилищно-коммунального хозяйства КБР Анзором Тутуковым. В ходе встреч обсуждались нарушения отдельными предприятиями жилищно-коммунального хозяйства республики своих договорных обязательств перед гарантирующим поставщиком электроэнергии Кабардино-Балкарии, в части оплаты за потребленную электроэнергию. </w:t>
      </w:r>
    </w:p>
    <w:p w:rsidR="00120AF7" w:rsidRPr="00120AF7" w:rsidRDefault="00120AF7" w:rsidP="00BC3A27">
      <w:pPr>
        <w:ind w:firstLine="708"/>
        <w:jc w:val="both"/>
        <w:rPr>
          <w:rFonts w:eastAsiaTheme="minorHAnsi" w:cstheme="minorBidi"/>
          <w:lang w:eastAsia="en-US"/>
        </w:rPr>
      </w:pPr>
      <w:r w:rsidRPr="00120AF7">
        <w:rPr>
          <w:rFonts w:eastAsiaTheme="minorHAnsi" w:cstheme="minorBidi"/>
          <w:lang w:eastAsia="en-US"/>
        </w:rPr>
        <w:t xml:space="preserve">Весь отчетный период на договорной основе ОАО «Каббалкэнерго» сотрудничало с печатными и электронными средствами массовой информации, республиканскими интернет-ресурсами. </w:t>
      </w:r>
    </w:p>
    <w:p w:rsidR="00120AF7" w:rsidRPr="00120AF7" w:rsidRDefault="00120AF7" w:rsidP="00BC3A27">
      <w:pPr>
        <w:ind w:firstLine="708"/>
        <w:jc w:val="both"/>
        <w:rPr>
          <w:rFonts w:eastAsiaTheme="minorHAnsi"/>
          <w:lang w:eastAsia="en-US"/>
        </w:rPr>
      </w:pPr>
      <w:r w:rsidRPr="00120AF7">
        <w:rPr>
          <w:rFonts w:eastAsiaTheme="minorHAnsi" w:cstheme="minorBidi"/>
          <w:lang w:eastAsia="en-US"/>
        </w:rPr>
        <w:t xml:space="preserve">В частности, информационные материалы о деятельности ОАО «Каббалкэнерго» и районных энергосбытовых отделений выходили в газетах «Кабардино-Балкарская», «Адыгэ псалъэ», «Заман», «Газета Юга», в муниципальных печатных изданиях. Имиджевые видео-ролики размещались на ТВ-каналах ГТРК «Кабардино-Балкария». </w:t>
      </w:r>
      <w:r w:rsidRPr="00120AF7">
        <w:rPr>
          <w:rFonts w:eastAsiaTheme="minorHAnsi"/>
          <w:lang w:eastAsia="en-US"/>
        </w:rPr>
        <w:t xml:space="preserve">Периодически на волнах «Авторадио Нальчик», «Русское радио Нальчик» и «Европа Плюс Нальчик» в эфир выходили имиджевые аудио-ролики. </w:t>
      </w:r>
    </w:p>
    <w:p w:rsidR="00120AF7" w:rsidRPr="00120AF7" w:rsidRDefault="00120AF7" w:rsidP="00BC3A27">
      <w:pPr>
        <w:ind w:firstLine="708"/>
        <w:jc w:val="both"/>
        <w:rPr>
          <w:rFonts w:eastAsiaTheme="minorHAnsi"/>
          <w:lang w:eastAsia="en-US"/>
        </w:rPr>
      </w:pPr>
      <w:r w:rsidRPr="00120AF7">
        <w:rPr>
          <w:rFonts w:eastAsiaTheme="minorHAnsi"/>
          <w:lang w:eastAsia="en-US"/>
        </w:rPr>
        <w:lastRenderedPageBreak/>
        <w:t xml:space="preserve">Регулярно деятельность Общества освещалась на таких интернет-ресурсах, как: «Кабардино-Балкария. Мир и мы» </w:t>
      </w:r>
      <w:hyperlink r:id="rId58" w:history="1">
        <w:r w:rsidRPr="00120AF7">
          <w:rPr>
            <w:rFonts w:eastAsiaTheme="minorHAnsi"/>
            <w:bCs/>
            <w:color w:val="0000FF" w:themeColor="hyperlink"/>
            <w:u w:val="single"/>
            <w:lang w:eastAsia="en-US"/>
          </w:rPr>
          <w:t>www.sk-news.ru</w:t>
        </w:r>
      </w:hyperlink>
      <w:r w:rsidRPr="00120AF7">
        <w:rPr>
          <w:rFonts w:eastAsiaTheme="minorHAnsi"/>
          <w:lang w:eastAsia="en-US"/>
        </w:rPr>
        <w:t xml:space="preserve">, «СКФО.ru» </w:t>
      </w:r>
      <w:hyperlink r:id="rId59" w:history="1">
        <w:r w:rsidRPr="00120AF7">
          <w:rPr>
            <w:rFonts w:eastAsiaTheme="minorHAnsi"/>
            <w:bCs/>
            <w:color w:val="0000FF" w:themeColor="hyperlink"/>
            <w:u w:val="single"/>
            <w:lang w:eastAsia="en-US"/>
          </w:rPr>
          <w:t>www.skfo.ru</w:t>
        </w:r>
      </w:hyperlink>
      <w:r w:rsidRPr="00120AF7">
        <w:rPr>
          <w:rFonts w:eastAsiaTheme="minorHAnsi"/>
          <w:lang w:eastAsia="en-US"/>
        </w:rPr>
        <w:t xml:space="preserve">, «News-KBR. Новости Кабардино-Балкарской республики» </w:t>
      </w:r>
      <w:hyperlink r:id="rId60" w:history="1">
        <w:r w:rsidRPr="00120AF7">
          <w:rPr>
            <w:rFonts w:eastAsiaTheme="minorHAnsi"/>
            <w:bCs/>
            <w:color w:val="0000FF" w:themeColor="hyperlink"/>
            <w:u w:val="single"/>
            <w:lang w:eastAsia="en-US"/>
          </w:rPr>
          <w:t>www.news-kbr.ru</w:t>
        </w:r>
      </w:hyperlink>
      <w:r w:rsidRPr="00120AF7">
        <w:rPr>
          <w:rFonts w:eastAsiaTheme="minorHAnsi"/>
          <w:lang w:eastAsia="en-US"/>
        </w:rPr>
        <w:t>, «БЕЗ ФОРМАТА.Ru»</w:t>
      </w:r>
      <w:r w:rsidRPr="00120AF7">
        <w:rPr>
          <w:rFonts w:eastAsiaTheme="minorHAnsi"/>
          <w:color w:val="9999AA"/>
          <w:lang w:eastAsia="en-US"/>
        </w:rPr>
        <w:t xml:space="preserve"> </w:t>
      </w:r>
      <w:hyperlink r:id="rId61" w:history="1">
        <w:r w:rsidRPr="00120AF7">
          <w:rPr>
            <w:rFonts w:eastAsiaTheme="minorHAnsi"/>
            <w:bCs/>
            <w:color w:val="0000FF" w:themeColor="hyperlink"/>
            <w:u w:val="single"/>
            <w:lang w:eastAsia="en-US"/>
          </w:rPr>
          <w:t>nalchik.bezformata.ru</w:t>
        </w:r>
      </w:hyperlink>
      <w:r w:rsidRPr="00120AF7">
        <w:rPr>
          <w:rFonts w:eastAsiaTheme="minorHAnsi"/>
          <w:lang w:eastAsia="en-US"/>
        </w:rPr>
        <w:t>, «Время Кабардино-Балкарии»</w:t>
      </w:r>
      <w:r w:rsidRPr="00120AF7">
        <w:rPr>
          <w:rFonts w:eastAsiaTheme="minorHAnsi"/>
          <w:color w:val="9999AA"/>
          <w:lang w:eastAsia="en-US"/>
        </w:rPr>
        <w:t xml:space="preserve"> </w:t>
      </w:r>
      <w:hyperlink r:id="rId62" w:history="1">
        <w:r w:rsidRPr="00120AF7">
          <w:rPr>
            <w:rFonts w:eastAsiaTheme="minorHAnsi"/>
            <w:bCs/>
            <w:color w:val="0000FF" w:themeColor="hyperlink"/>
            <w:u w:val="single"/>
            <w:lang w:eastAsia="en-US"/>
          </w:rPr>
          <w:t>www.kbr-time.ru</w:t>
        </w:r>
      </w:hyperlink>
      <w:r w:rsidRPr="00120AF7">
        <w:rPr>
          <w:rFonts w:eastAsiaTheme="minorHAnsi"/>
          <w:lang w:eastAsia="en-US"/>
        </w:rPr>
        <w:t>, «Республиканское информационное агентство «Кабардино-Балкария»</w:t>
      </w:r>
      <w:r w:rsidRPr="00120AF7">
        <w:rPr>
          <w:rFonts w:eastAsiaTheme="minorHAnsi"/>
          <w:color w:val="9999AA"/>
          <w:lang w:eastAsia="en-US"/>
        </w:rPr>
        <w:t xml:space="preserve"> </w:t>
      </w:r>
      <w:hyperlink r:id="rId63" w:history="1">
        <w:r w:rsidRPr="00120AF7">
          <w:rPr>
            <w:rFonts w:eastAsiaTheme="minorHAnsi"/>
            <w:bCs/>
            <w:color w:val="0000FF" w:themeColor="hyperlink"/>
            <w:u w:val="single"/>
            <w:lang w:eastAsia="en-US"/>
          </w:rPr>
          <w:t>www.kbrria.ru</w:t>
        </w:r>
      </w:hyperlink>
      <w:r w:rsidRPr="00120AF7">
        <w:rPr>
          <w:rFonts w:eastAsiaTheme="minorHAnsi"/>
          <w:lang w:eastAsia="en-US"/>
        </w:rPr>
        <w:t>, «07</w:t>
      </w:r>
      <w:r w:rsidRPr="00120AF7">
        <w:rPr>
          <w:rFonts w:eastAsiaTheme="minorHAnsi"/>
          <w:lang w:val="en-US" w:eastAsia="en-US"/>
        </w:rPr>
        <w:t>KBR</w:t>
      </w:r>
      <w:r w:rsidRPr="00120AF7">
        <w:rPr>
          <w:rFonts w:eastAsiaTheme="minorHAnsi"/>
          <w:lang w:eastAsia="en-US"/>
        </w:rPr>
        <w:t>.</w:t>
      </w:r>
      <w:r w:rsidRPr="00120AF7">
        <w:rPr>
          <w:rFonts w:eastAsiaTheme="minorHAnsi"/>
          <w:lang w:val="en-US" w:eastAsia="en-US"/>
        </w:rPr>
        <w:t>ru</w:t>
      </w:r>
      <w:r w:rsidRPr="00120AF7">
        <w:rPr>
          <w:rFonts w:eastAsiaTheme="minorHAnsi"/>
          <w:lang w:eastAsia="en-US"/>
        </w:rPr>
        <w:t xml:space="preserve">» </w:t>
      </w:r>
      <w:hyperlink r:id="rId64" w:history="1">
        <w:r w:rsidRPr="00120AF7">
          <w:rPr>
            <w:rFonts w:eastAsiaTheme="minorHAnsi"/>
            <w:bCs/>
            <w:color w:val="0000FF" w:themeColor="hyperlink"/>
            <w:u w:val="single"/>
            <w:lang w:eastAsia="en-US"/>
          </w:rPr>
          <w:t>www.07kbr.ru</w:t>
        </w:r>
      </w:hyperlink>
      <w:r w:rsidRPr="00120AF7">
        <w:rPr>
          <w:rFonts w:eastAsiaTheme="minorHAnsi"/>
          <w:lang w:eastAsia="en-US"/>
        </w:rPr>
        <w:t xml:space="preserve">. </w:t>
      </w:r>
    </w:p>
    <w:p w:rsidR="00120AF7" w:rsidRPr="00120AF7" w:rsidRDefault="00120AF7" w:rsidP="00BC3A27">
      <w:pPr>
        <w:ind w:firstLine="708"/>
        <w:jc w:val="both"/>
        <w:rPr>
          <w:rFonts w:eastAsiaTheme="minorHAnsi"/>
          <w:lang w:eastAsia="en-US"/>
        </w:rPr>
      </w:pPr>
      <w:r w:rsidRPr="00120AF7">
        <w:rPr>
          <w:rFonts w:eastAsiaTheme="minorHAnsi"/>
          <w:lang w:eastAsia="en-US"/>
        </w:rPr>
        <w:t xml:space="preserve">ОАО «Каббалкэнерго» имеет свое представительство в сети Интернет – корпоративный сайт </w:t>
      </w:r>
      <w:hyperlink r:id="rId65" w:history="1">
        <w:r w:rsidRPr="00120AF7">
          <w:rPr>
            <w:rFonts w:eastAsiaTheme="minorHAnsi"/>
            <w:bCs/>
            <w:color w:val="0000FF" w:themeColor="hyperlink"/>
            <w:u w:val="single"/>
            <w:lang w:eastAsia="en-US"/>
          </w:rPr>
          <w:t>www.kabbalkenergo.ru</w:t>
        </w:r>
      </w:hyperlink>
      <w:r w:rsidRPr="00120AF7">
        <w:rPr>
          <w:rFonts w:eastAsiaTheme="minorHAnsi"/>
          <w:lang w:eastAsia="en-US"/>
        </w:rPr>
        <w:t xml:space="preserve"> и страничка на «Facebook». Кроме того, медийная информация Общества публикуется на Едином интернет-портале гарантирующих поставщиков СКФО и Калмыкии </w:t>
      </w:r>
      <w:hyperlink r:id="rId66" w:history="1">
        <w:r w:rsidRPr="00120AF7">
          <w:rPr>
            <w:rFonts w:eastAsiaTheme="minorHAnsi"/>
            <w:bCs/>
            <w:color w:val="0000FF" w:themeColor="hyperlink"/>
            <w:u w:val="single"/>
            <w:lang w:eastAsia="en-US"/>
          </w:rPr>
          <w:t>www.gp-energo.ru</w:t>
        </w:r>
      </w:hyperlink>
      <w:r w:rsidRPr="00120AF7">
        <w:rPr>
          <w:rFonts w:eastAsiaTheme="minorHAnsi"/>
          <w:lang w:eastAsia="en-US"/>
        </w:rPr>
        <w:t xml:space="preserve">. </w:t>
      </w:r>
    </w:p>
    <w:p w:rsidR="00120AF7" w:rsidRPr="00120AF7" w:rsidRDefault="00120AF7" w:rsidP="00BC3A27">
      <w:pPr>
        <w:ind w:firstLine="708"/>
        <w:jc w:val="both"/>
        <w:rPr>
          <w:rFonts w:eastAsiaTheme="minorHAnsi" w:cstheme="minorBidi"/>
          <w:lang w:eastAsia="en-US"/>
        </w:rPr>
      </w:pPr>
      <w:r w:rsidRPr="00120AF7">
        <w:rPr>
          <w:rFonts w:eastAsiaTheme="minorHAnsi"/>
          <w:lang w:eastAsia="en-US"/>
        </w:rPr>
        <w:t>За отчетный период в республиканских средств массовой информации опубликовано 87 интервью</w:t>
      </w:r>
      <w:r w:rsidRPr="00120AF7">
        <w:rPr>
          <w:rFonts w:eastAsiaTheme="minorHAnsi" w:cstheme="minorBidi"/>
          <w:lang w:eastAsia="en-US"/>
        </w:rPr>
        <w:t xml:space="preserve"> управляющего директора Общества. Информационные поводы для СМИ были инициированы путем распространения 52 пресс-релизов. </w:t>
      </w:r>
    </w:p>
    <w:p w:rsidR="00120AF7" w:rsidRPr="00120AF7" w:rsidRDefault="00120AF7" w:rsidP="00BC3A27">
      <w:pPr>
        <w:ind w:firstLine="708"/>
        <w:jc w:val="both"/>
        <w:rPr>
          <w:rFonts w:eastAsiaTheme="minorHAnsi"/>
          <w:lang w:eastAsia="en-US"/>
        </w:rPr>
      </w:pPr>
      <w:r w:rsidRPr="00120AF7">
        <w:rPr>
          <w:rFonts w:eastAsiaTheme="minorHAnsi"/>
          <w:lang w:eastAsia="en-US"/>
        </w:rPr>
        <w:t>В течение года на корпоративном сайте Общества и Едином интернет-портале гарантирующих поставщиков СКФО и Калмыкии размещались  информационно-аналитические материалы о претензионно-исковой деятельности Общества и взаимодействии ОАО «Каббалкэнерго» с региональной сетевой компанией, в части отключения (ограничения) электроснабжения злостным неплательщикам.</w:t>
      </w:r>
    </w:p>
    <w:p w:rsidR="00120AF7" w:rsidRPr="00120AF7" w:rsidRDefault="00120AF7" w:rsidP="00BC3A27">
      <w:pPr>
        <w:ind w:firstLine="708"/>
        <w:jc w:val="both"/>
        <w:rPr>
          <w:rFonts w:eastAsiaTheme="minorHAnsi"/>
          <w:lang w:eastAsia="en-US"/>
        </w:rPr>
      </w:pPr>
      <w:r w:rsidRPr="00120AF7">
        <w:rPr>
          <w:rFonts w:eastAsiaTheme="minorHAnsi"/>
          <w:lang w:eastAsia="en-US"/>
        </w:rPr>
        <w:t xml:space="preserve">В период март-декабрь 2014 года на базе ОАО «Каббалкэнерго» открылись шесть Центров обслуживания клиентов компании «Россети». Эти значимые события освещались практически во всех электронных и печатных региональных СМИ, на интернет-ресурсах. В целом, за отчетный период по теме «Открытие ЦОК» в информационном поле республики вышло 57 материалов. </w:t>
      </w:r>
    </w:p>
    <w:p w:rsidR="00120AF7" w:rsidRPr="00120AF7" w:rsidRDefault="00120AF7" w:rsidP="00BC3A27">
      <w:pPr>
        <w:ind w:firstLine="708"/>
        <w:jc w:val="both"/>
        <w:rPr>
          <w:rFonts w:eastAsiaTheme="minorHAnsi"/>
          <w:lang w:eastAsia="en-US"/>
        </w:rPr>
      </w:pPr>
      <w:r w:rsidRPr="00120AF7">
        <w:rPr>
          <w:rFonts w:eastAsiaTheme="minorHAnsi"/>
          <w:lang w:eastAsia="en-US"/>
        </w:rPr>
        <w:t>Широкое освещение в СМИ получила и ежегодная церемония награждения победителей и лауреатов конкурса «Золотая опора», состоявшаяся 10 июня.</w:t>
      </w:r>
    </w:p>
    <w:p w:rsidR="00120AF7" w:rsidRPr="00120AF7" w:rsidRDefault="00120AF7" w:rsidP="00BC3A27">
      <w:pPr>
        <w:ind w:firstLine="708"/>
        <w:jc w:val="both"/>
        <w:rPr>
          <w:rFonts w:eastAsiaTheme="minorHAnsi" w:cstheme="minorBidi"/>
          <w:lang w:eastAsia="en-US"/>
        </w:rPr>
      </w:pPr>
      <w:r w:rsidRPr="00120AF7">
        <w:rPr>
          <w:rFonts w:eastAsiaTheme="minorHAnsi"/>
          <w:lang w:eastAsia="en-US"/>
        </w:rPr>
        <w:t xml:space="preserve">Свое отражение на страницах печатных периодических изданий республики нашли мероприятия с участием сотрудников ОАО «Каббалкэнерго», проводимые профсоюзным комитетом Общества – первомайская демонстрация, </w:t>
      </w:r>
      <w:r w:rsidRPr="00120AF7">
        <w:rPr>
          <w:rFonts w:eastAsiaTheme="minorHAnsi" w:cstheme="minorBidi"/>
          <w:lang w:eastAsia="en-US"/>
        </w:rPr>
        <w:t>теннисный турнир на призы рескома электроэнергетики.</w:t>
      </w:r>
    </w:p>
    <w:p w:rsidR="00120AF7" w:rsidRPr="00120AF7" w:rsidRDefault="00120AF7" w:rsidP="00BC3A27">
      <w:pPr>
        <w:ind w:firstLine="708"/>
        <w:jc w:val="both"/>
        <w:rPr>
          <w:rFonts w:eastAsiaTheme="minorHAnsi" w:cstheme="minorBidi"/>
          <w:lang w:eastAsia="en-US"/>
        </w:rPr>
      </w:pPr>
      <w:r w:rsidRPr="00120AF7">
        <w:rPr>
          <w:rFonts w:eastAsiaTheme="minorHAnsi" w:cstheme="minorBidi"/>
          <w:lang w:eastAsia="en-US"/>
        </w:rPr>
        <w:t>В числе крупных коммуникационных программ, реализованных ОАО «Каббалкэнерго» за отчетный период, можно отметить следующие:</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 xml:space="preserve">PR-кампания «Гарант стабильности» (освещение в СМИ и на медиа-ресурсах ОАО «Каббалкэнерго» работы Общества, как гарантирующего поставщика электроэнергии республики); </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PR-компания «Честный киловатт» (проведение мероприятий, направленных на профилактику хищений электроэнергии, соблюдение платежной дисциплины, снижение дебиторской задолженности);</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Благотворительная акция «Чужой беды не бывает» (сбор средств для 4-летней девочки больной ДЦП, необходимых для повторного курса лечения в специализированной клинике Китая);</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Мемориальная акция «Энергия победы и созидания» (сотрудники районных и городских энергосбытовых отделений провели реставрацию памятников, монументов и обелисков воинам, павшим в годы Великой Отечественной Войны, благоустроили прилегающих к ним, территории);</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Акция «Спасибо за победу!» (поздравление ветеранов Великой Отечественной войны с Днем Победы);</w:t>
      </w:r>
      <w:r w:rsidRPr="00120AF7">
        <w:rPr>
          <w:rFonts w:asciiTheme="minorHAnsi" w:eastAsiaTheme="minorHAnsi" w:hAnsiTheme="minorHAnsi" w:cstheme="minorBidi"/>
          <w:lang w:eastAsia="en-US"/>
        </w:rPr>
        <w:t xml:space="preserve"> </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 xml:space="preserve">День защиты детей. Акция «Добрая сказка» (организация коллективного просмотра мультипликационного фильма для детей сотрудников Общества); </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День защиты детей. Социальная акция «Спортивное лето – детям» (спортивный инвентарь в подарок воспитанникам школы интерната для детей сирот и детей, оставшихся без попечения родителей, с. Кременчуг-Константиновское);</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lastRenderedPageBreak/>
        <w:t>PR-акция «Золотая опора» (поощрение лучших потребителей-юридических лиц по итогам 2013 года);</w:t>
      </w:r>
      <w:r w:rsidRPr="00120AF7">
        <w:rPr>
          <w:rFonts w:asciiTheme="minorHAnsi" w:eastAsiaTheme="minorHAnsi" w:hAnsiTheme="minorHAnsi" w:cstheme="minorBidi"/>
          <w:lang w:eastAsia="en-US"/>
        </w:rPr>
        <w:t xml:space="preserve"> </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Благотворительная акция к началу учебного года (комплект электронной звуковой аппаратуры для проведения массовых мероприятий для кадетской школы-интерната с. Бабугент);</w:t>
      </w:r>
    </w:p>
    <w:p w:rsidR="00120AF7" w:rsidRP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День энергетика. Программа «Энергетик – достойная профессия» (поздравление ветеранов отрасли с профессиональным праздником; размещение в СМИ и на медиа-ресурсах ОАО «Каббалкэнерго» пресс-релизов о трудовых буднях районных энергосбтовых компаний);</w:t>
      </w:r>
    </w:p>
    <w:p w:rsidR="00120AF7" w:rsidRDefault="00120AF7" w:rsidP="00AE0E97">
      <w:pPr>
        <w:numPr>
          <w:ilvl w:val="0"/>
          <w:numId w:val="29"/>
        </w:numPr>
        <w:contextualSpacing/>
        <w:jc w:val="both"/>
        <w:rPr>
          <w:rFonts w:eastAsiaTheme="minorHAnsi" w:cstheme="minorBidi"/>
          <w:lang w:eastAsia="en-US"/>
        </w:rPr>
      </w:pPr>
      <w:r w:rsidRPr="00120AF7">
        <w:rPr>
          <w:rFonts w:eastAsiaTheme="minorHAnsi" w:cstheme="minorBidi"/>
          <w:lang w:eastAsia="en-US"/>
        </w:rPr>
        <w:t>Социальная акция «Подари детям свет и тепло» (электрооборудование для Республиканского специализированного Дома ребенка</w:t>
      </w:r>
      <w:r w:rsidR="00875CC9">
        <w:rPr>
          <w:rFonts w:eastAsiaTheme="minorHAnsi" w:cstheme="minorBidi"/>
          <w:lang w:eastAsia="en-US"/>
        </w:rPr>
        <w:t>).</w:t>
      </w:r>
    </w:p>
    <w:p w:rsidR="00875CC9" w:rsidRPr="00120AF7" w:rsidRDefault="00875CC9" w:rsidP="00BC3A27">
      <w:pPr>
        <w:ind w:left="720"/>
        <w:contextualSpacing/>
        <w:jc w:val="both"/>
        <w:rPr>
          <w:rFonts w:eastAsiaTheme="minorHAnsi" w:cstheme="minorBidi"/>
          <w:sz w:val="12"/>
          <w:lang w:eastAsia="en-US"/>
        </w:rPr>
      </w:pPr>
    </w:p>
    <w:p w:rsidR="00120AF7" w:rsidRDefault="00120AF7" w:rsidP="00BC3A27">
      <w:pPr>
        <w:ind w:firstLine="708"/>
        <w:jc w:val="both"/>
        <w:rPr>
          <w:rFonts w:eastAsiaTheme="minorHAnsi"/>
          <w:lang w:eastAsia="en-US"/>
        </w:rPr>
      </w:pPr>
      <w:r w:rsidRPr="00120AF7">
        <w:rPr>
          <w:rFonts w:eastAsiaTheme="minorHAnsi" w:cstheme="minorBidi"/>
          <w:lang w:eastAsia="en-US"/>
        </w:rPr>
        <w:t>В республиканских средствах массовой информации в течение всего отчетного периода проходила информацию об участии у</w:t>
      </w:r>
      <w:r w:rsidRPr="00120AF7">
        <w:rPr>
          <w:rFonts w:eastAsiaTheme="minorHAnsi"/>
          <w:lang w:eastAsia="en-US"/>
        </w:rPr>
        <w:t xml:space="preserve">правляющего директора ОАО «Каббалкэнерго» в плановых и экстренных совещаниях, проводимых республиканскими органами исполнительной власти по вопросам энергообеспечения, а также в заседаниях рабочих групп по развитию и безопасности электроснабжения Кабардино-Балкарской республики, созданных при Правительстве КБР. </w:t>
      </w:r>
    </w:p>
    <w:p w:rsidR="00177F99" w:rsidRDefault="00177F99" w:rsidP="00BC3A27">
      <w:pPr>
        <w:ind w:firstLine="708"/>
        <w:jc w:val="both"/>
        <w:rPr>
          <w:rFonts w:eastAsiaTheme="minorHAnsi"/>
          <w:lang w:eastAsia="en-US"/>
        </w:rPr>
      </w:pPr>
    </w:p>
    <w:p w:rsidR="00771B62" w:rsidRDefault="00771B62" w:rsidP="00BC3A27">
      <w:pPr>
        <w:ind w:firstLine="708"/>
        <w:jc w:val="both"/>
        <w:rPr>
          <w:rFonts w:eastAsiaTheme="minorHAnsi"/>
          <w:lang w:eastAsia="en-US"/>
        </w:rPr>
      </w:pPr>
    </w:p>
    <w:p w:rsidR="00771B62" w:rsidRDefault="00771B62" w:rsidP="00BC3A27">
      <w:pPr>
        <w:spacing w:after="200"/>
        <w:jc w:val="both"/>
        <w:rPr>
          <w:rFonts w:eastAsiaTheme="minorHAnsi"/>
          <w:lang w:eastAsia="en-US"/>
        </w:rPr>
      </w:pPr>
    </w:p>
    <w:p w:rsidR="00AA305C" w:rsidRDefault="00AA305C" w:rsidP="00BC3A27">
      <w:pPr>
        <w:spacing w:after="200"/>
        <w:jc w:val="both"/>
        <w:rPr>
          <w:rFonts w:eastAsiaTheme="minorHAnsi"/>
          <w:lang w:eastAsia="en-US"/>
        </w:rPr>
      </w:pPr>
    </w:p>
    <w:p w:rsidR="00BC3A27" w:rsidRDefault="00BC3A27" w:rsidP="00BC3A27">
      <w:pPr>
        <w:pStyle w:val="a9"/>
        <w:suppressAutoHyphens/>
        <w:snapToGrid w:val="0"/>
        <w:ind w:left="0"/>
        <w:rPr>
          <w:rFonts w:eastAsiaTheme="minorHAnsi"/>
          <w:lang w:eastAsia="en-US"/>
        </w:rPr>
      </w:pPr>
    </w:p>
    <w:p w:rsidR="00771B62" w:rsidRPr="00BC3A27" w:rsidRDefault="00BC3A27" w:rsidP="00BC3A27">
      <w:pPr>
        <w:pStyle w:val="a9"/>
        <w:suppressAutoHyphens/>
        <w:snapToGrid w:val="0"/>
        <w:ind w:left="0"/>
        <w:jc w:val="center"/>
        <w:rPr>
          <w:b/>
          <w:sz w:val="28"/>
          <w:szCs w:val="28"/>
        </w:rPr>
      </w:pPr>
      <w:r w:rsidRPr="00BC3A27">
        <w:rPr>
          <w:rFonts w:eastAsiaTheme="minorHAnsi"/>
          <w:b/>
          <w:sz w:val="28"/>
          <w:szCs w:val="28"/>
          <w:lang w:eastAsia="en-US"/>
        </w:rPr>
        <w:t xml:space="preserve">Раздел 7. </w:t>
      </w:r>
      <w:r w:rsidR="00771B62" w:rsidRPr="00BC3A27">
        <w:rPr>
          <w:b/>
          <w:sz w:val="28"/>
          <w:szCs w:val="28"/>
        </w:rPr>
        <w:t>Приоритетные направления деятельности и</w:t>
      </w:r>
    </w:p>
    <w:p w:rsidR="00771B62" w:rsidRPr="00BC3A27" w:rsidRDefault="00771B62" w:rsidP="00BC3A27">
      <w:pPr>
        <w:suppressAutoHyphens/>
        <w:snapToGrid w:val="0"/>
        <w:jc w:val="center"/>
        <w:rPr>
          <w:b/>
          <w:sz w:val="28"/>
          <w:szCs w:val="28"/>
        </w:rPr>
      </w:pPr>
      <w:r w:rsidRPr="00BC3A27">
        <w:rPr>
          <w:b/>
          <w:sz w:val="28"/>
          <w:szCs w:val="28"/>
        </w:rPr>
        <w:t xml:space="preserve">перспективы развития </w:t>
      </w:r>
      <w:r w:rsidR="00BC3A27" w:rsidRPr="00BC3A27">
        <w:rPr>
          <w:b/>
          <w:sz w:val="28"/>
          <w:szCs w:val="28"/>
        </w:rPr>
        <w:t>Общества</w:t>
      </w:r>
    </w:p>
    <w:p w:rsidR="00F93C8E" w:rsidRDefault="00F93C8E" w:rsidP="00F93C8E">
      <w:pPr>
        <w:suppressAutoHyphens/>
        <w:snapToGrid w:val="0"/>
        <w:rPr>
          <w:b/>
          <w:szCs w:val="20"/>
        </w:rPr>
      </w:pPr>
    </w:p>
    <w:p w:rsidR="00F93C8E" w:rsidRDefault="00F93C8E" w:rsidP="00F93C8E">
      <w:pPr>
        <w:suppressAutoHyphens/>
        <w:snapToGrid w:val="0"/>
        <w:jc w:val="center"/>
        <w:rPr>
          <w:b/>
          <w:sz w:val="28"/>
          <w:szCs w:val="20"/>
        </w:rPr>
      </w:pPr>
      <w:r>
        <w:rPr>
          <w:b/>
          <w:sz w:val="28"/>
          <w:szCs w:val="20"/>
        </w:rPr>
        <w:t>7.1.   Приоритетные направления деятельности</w:t>
      </w:r>
    </w:p>
    <w:p w:rsidR="00F93C8E" w:rsidRDefault="00F93C8E" w:rsidP="00F93C8E">
      <w:pPr>
        <w:suppressAutoHyphens/>
        <w:snapToGrid w:val="0"/>
        <w:jc w:val="center"/>
        <w:rPr>
          <w:b/>
          <w:szCs w:val="20"/>
        </w:rPr>
      </w:pPr>
    </w:p>
    <w:p w:rsidR="00F93C8E" w:rsidRDefault="00F93C8E" w:rsidP="00F93C8E">
      <w:pPr>
        <w:ind w:firstLine="708"/>
        <w:jc w:val="both"/>
        <w:rPr>
          <w:rFonts w:eastAsiaTheme="minorHAnsi"/>
          <w:lang w:eastAsia="en-US"/>
        </w:rPr>
      </w:pPr>
      <w:r>
        <w:rPr>
          <w:rFonts w:eastAsiaTheme="minorHAnsi"/>
          <w:lang w:eastAsia="en-US"/>
        </w:rPr>
        <w:t>Главным и основным направлением хозяйственной деятельности                                 ОАО «Каббалкэнерго», как энергосбытовой компании, является покупка и продажа электрической энергии (мощности).</w:t>
      </w:r>
    </w:p>
    <w:p w:rsidR="00F93C8E" w:rsidRDefault="00F93C8E" w:rsidP="00F93C8E">
      <w:pPr>
        <w:ind w:firstLine="708"/>
        <w:jc w:val="both"/>
        <w:rPr>
          <w:rFonts w:eastAsiaTheme="minorHAnsi"/>
          <w:lang w:eastAsia="en-US"/>
        </w:rPr>
      </w:pPr>
      <w:r>
        <w:rPr>
          <w:rFonts w:eastAsiaTheme="minorHAnsi"/>
          <w:lang w:eastAsia="en-US"/>
        </w:rPr>
        <w:t>Миссия ОАО «Каббалкэнерго», как гарантирующего поставщика, заключается в обеспечении реализации права любого потребителя на территории Кабардино-Балкарской Республики на надежную и бесперебойную поставку электроэнергии в объеме, соответствующем его потребностям.</w:t>
      </w:r>
    </w:p>
    <w:p w:rsidR="00F93C8E" w:rsidRDefault="00F93C8E" w:rsidP="00F93C8E">
      <w:pPr>
        <w:ind w:firstLine="709"/>
        <w:jc w:val="both"/>
      </w:pPr>
      <w:r>
        <w:t>Приоритетными направлениями деятельности Общества являются:</w:t>
      </w:r>
    </w:p>
    <w:p w:rsidR="00F93C8E" w:rsidRDefault="00F93C8E" w:rsidP="00F93C8E">
      <w:pPr>
        <w:ind w:firstLine="567"/>
        <w:jc w:val="both"/>
      </w:pPr>
      <w:r>
        <w:t>•</w:t>
      </w:r>
      <w:r>
        <w:tab/>
        <w:t>обеспечение стабильности и надежности энергоснабжения потребителей;</w:t>
      </w:r>
    </w:p>
    <w:p w:rsidR="00F93C8E" w:rsidRDefault="00F93C8E" w:rsidP="00F93C8E">
      <w:pPr>
        <w:ind w:firstLine="567"/>
        <w:jc w:val="both"/>
      </w:pPr>
      <w:r>
        <w:t>•</w:t>
      </w:r>
      <w:r>
        <w:tab/>
        <w:t>обеспечение полной и своевременной оплаты потребленной электроэнергии;</w:t>
      </w:r>
    </w:p>
    <w:p w:rsidR="00F93C8E" w:rsidRDefault="00F93C8E" w:rsidP="00F93C8E">
      <w:pPr>
        <w:ind w:firstLine="567"/>
        <w:jc w:val="both"/>
      </w:pPr>
      <w:r>
        <w:t>•</w:t>
      </w:r>
      <w:r>
        <w:tab/>
        <w:t>обеспечение полной и своевременной оплаты услуг сетевых компаний за услуги по передаче электроэнергии и стоимости покупной электроэнергии перед поставщиками на оптовом рынке энергии (мощности);</w:t>
      </w:r>
    </w:p>
    <w:p w:rsidR="00F93C8E" w:rsidRDefault="00F93C8E" w:rsidP="00F93C8E">
      <w:pPr>
        <w:ind w:firstLine="567"/>
        <w:jc w:val="both"/>
      </w:pPr>
      <w:r>
        <w:t>•</w:t>
      </w:r>
      <w:r>
        <w:tab/>
        <w:t>повышение качества обслуживания клиентов;</w:t>
      </w:r>
    </w:p>
    <w:p w:rsidR="00F93C8E" w:rsidRDefault="00F93C8E" w:rsidP="00AE0E97">
      <w:pPr>
        <w:numPr>
          <w:ilvl w:val="0"/>
          <w:numId w:val="37"/>
        </w:numPr>
        <w:ind w:left="709" w:hanging="142"/>
        <w:contextualSpacing/>
        <w:jc w:val="both"/>
      </w:pPr>
      <w:r>
        <w:t>совершенствование системы внутреннего контроля и управления рисками.</w:t>
      </w:r>
    </w:p>
    <w:p w:rsidR="00F93C8E" w:rsidRDefault="00F93C8E" w:rsidP="00F93C8E">
      <w:pPr>
        <w:ind w:firstLine="708"/>
        <w:jc w:val="both"/>
        <w:rPr>
          <w:rFonts w:eastAsiaTheme="minorHAnsi"/>
          <w:lang w:eastAsia="en-US"/>
        </w:rPr>
      </w:pPr>
      <w:r>
        <w:rPr>
          <w:rFonts w:eastAsiaTheme="minorHAnsi"/>
          <w:lang w:eastAsia="en-US"/>
        </w:rPr>
        <w:t xml:space="preserve">Наиболее важным направлением деятельности Общества остается </w:t>
      </w:r>
      <w:r>
        <w:rPr>
          <w:rFonts w:eastAsiaTheme="minorHAnsi" w:cstheme="minorBidi"/>
          <w:lang w:eastAsia="en-US"/>
        </w:rPr>
        <w:t>снижение уровня дебиторской задолженности потребителей за поставленную электроэнергию и усиление платежной дисциплины потребителей</w:t>
      </w:r>
      <w:r>
        <w:rPr>
          <w:rFonts w:eastAsiaTheme="minorHAnsi"/>
          <w:lang w:eastAsia="en-US"/>
        </w:rPr>
        <w:t xml:space="preserve">. </w:t>
      </w:r>
    </w:p>
    <w:p w:rsidR="00F93C8E" w:rsidRDefault="00F93C8E" w:rsidP="00F93C8E">
      <w:pPr>
        <w:ind w:firstLine="708"/>
        <w:jc w:val="both"/>
        <w:rPr>
          <w:rFonts w:eastAsia="Calibri"/>
          <w:highlight w:val="yellow"/>
          <w:lang w:eastAsia="en-US"/>
        </w:rPr>
      </w:pPr>
      <w:r>
        <w:rPr>
          <w:rFonts w:eastAsiaTheme="minorHAnsi"/>
          <w:lang w:eastAsia="en-US"/>
        </w:rPr>
        <w:t xml:space="preserve">В данном направлении деятельности за 2014 год получены следующие результаты. </w:t>
      </w:r>
      <w:r>
        <w:rPr>
          <w:rFonts w:eastAsia="Calibri"/>
          <w:lang w:eastAsia="en-US"/>
        </w:rPr>
        <w:t xml:space="preserve">Объем продаж электроэнергии конечным потребителям составил 3 млрд. 752 млн. руб. Оплачено за потребленную электроэнергию в 2014 году всего 3 млрд. 635 млн. руб. или 96,9 %. Для сравнения уровень оплаты в 2013 году составил 97,6%. Недоплата по всем </w:t>
      </w:r>
      <w:r>
        <w:rPr>
          <w:rFonts w:eastAsia="Calibri"/>
          <w:lang w:eastAsia="en-US"/>
        </w:rPr>
        <w:lastRenderedPageBreak/>
        <w:t>группам потребителей составила 116,5 млн. руб. Всего задолженность за потребленную электроэнергию на розничном рынке по состоянию на 1 января 2015г. составляет 430,3 млн.руб. Главной причиной недоплаты является низкий уровень оплаты предприятий жилищно-коммунального комплекса. Большая часть задолженности предприятий ЖКХ является просроченной.  При этом, ограничение режима потребления электроэнергии таких предприятий ниже уровня аварийной брони не допускается.</w:t>
      </w:r>
    </w:p>
    <w:p w:rsidR="00F93C8E" w:rsidRDefault="00F93C8E" w:rsidP="00F93C8E">
      <w:pPr>
        <w:tabs>
          <w:tab w:val="left" w:pos="993"/>
        </w:tabs>
        <w:ind w:firstLine="720"/>
        <w:jc w:val="both"/>
        <w:rPr>
          <w:rFonts w:eastAsia="Calibri"/>
          <w:lang w:eastAsia="en-US"/>
        </w:rPr>
      </w:pPr>
      <w:r>
        <w:rPr>
          <w:rFonts w:eastAsia="Calibri"/>
          <w:lang w:eastAsia="en-US"/>
        </w:rPr>
        <w:t xml:space="preserve">В целях улучшения уровня платежей Обществом совместно с Правительством Кабардино-Балкарской Республики разработан Комплексный план мероприятий по улучшению платежной дисциплины и ликвидации сложившейся задолженности за электроэнергию в Кабардино-Балкарской Республике на 2015 год, в рамках которого </w:t>
      </w:r>
      <w:r>
        <w:rPr>
          <w:lang w:eastAsia="en-US"/>
        </w:rPr>
        <w:t>планируются следующие дополнительные мероприятия:</w:t>
      </w:r>
    </w:p>
    <w:p w:rsidR="00F93C8E" w:rsidRDefault="00F93C8E" w:rsidP="00AE0E97">
      <w:pPr>
        <w:numPr>
          <w:ilvl w:val="0"/>
          <w:numId w:val="38"/>
        </w:numPr>
        <w:tabs>
          <w:tab w:val="left" w:pos="284"/>
          <w:tab w:val="left" w:pos="993"/>
        </w:tabs>
        <w:ind w:left="0" w:firstLine="709"/>
        <w:jc w:val="both"/>
        <w:rPr>
          <w:lang w:eastAsia="en-US"/>
        </w:rPr>
      </w:pPr>
      <w:r>
        <w:rPr>
          <w:lang w:eastAsia="en-US"/>
        </w:rPr>
        <w:t>тесное взаимодействие с органами государственной и муниципальной власти по вопросам погашения задолженности; информирование Главы региона, Председателя Правительства КБР и глав курирующих министерств о проблемах Общества, связанных с неплатежами потребителей электрической энергии;</w:t>
      </w:r>
    </w:p>
    <w:p w:rsidR="00F93C8E" w:rsidRDefault="00F93C8E" w:rsidP="00AE0E97">
      <w:pPr>
        <w:numPr>
          <w:ilvl w:val="0"/>
          <w:numId w:val="38"/>
        </w:numPr>
        <w:tabs>
          <w:tab w:val="left" w:pos="284"/>
          <w:tab w:val="left" w:pos="993"/>
        </w:tabs>
        <w:ind w:left="0" w:firstLine="709"/>
        <w:jc w:val="both"/>
        <w:rPr>
          <w:lang w:eastAsia="en-US"/>
        </w:rPr>
      </w:pPr>
      <w:r>
        <w:rPr>
          <w:lang w:eastAsia="en-US"/>
        </w:rPr>
        <w:t>направление в правоохранительные органы материалов по предприятиям ЖКХ, в отношении которых введена процедура банкротства;</w:t>
      </w:r>
    </w:p>
    <w:p w:rsidR="00F93C8E" w:rsidRDefault="00F93C8E" w:rsidP="00AE0E97">
      <w:pPr>
        <w:numPr>
          <w:ilvl w:val="0"/>
          <w:numId w:val="38"/>
        </w:numPr>
        <w:tabs>
          <w:tab w:val="left" w:pos="284"/>
          <w:tab w:val="left" w:pos="993"/>
        </w:tabs>
        <w:ind w:left="0" w:firstLine="709"/>
        <w:jc w:val="both"/>
        <w:rPr>
          <w:lang w:eastAsia="en-US"/>
        </w:rPr>
      </w:pPr>
      <w:r>
        <w:rPr>
          <w:lang w:eastAsia="en-US"/>
        </w:rPr>
        <w:t>подписание графиков (соглашений) реструктуризации задолженности с основными должниками – муниципальными и городскими предприятиями с условием поручительства органов исполнительной власти Кабардино-Балкарской Республики исполнения должниками подписанных графиков;</w:t>
      </w:r>
    </w:p>
    <w:p w:rsidR="00F93C8E" w:rsidRDefault="00F93C8E" w:rsidP="00AE0E97">
      <w:pPr>
        <w:numPr>
          <w:ilvl w:val="0"/>
          <w:numId w:val="38"/>
        </w:numPr>
        <w:tabs>
          <w:tab w:val="left" w:pos="284"/>
          <w:tab w:val="left" w:pos="993"/>
        </w:tabs>
        <w:ind w:left="0" w:firstLine="709"/>
        <w:jc w:val="both"/>
        <w:rPr>
          <w:lang w:eastAsia="en-US"/>
        </w:rPr>
      </w:pPr>
      <w:r>
        <w:rPr>
          <w:lang w:eastAsia="en-US"/>
        </w:rPr>
        <w:t>создание Единого расчетного центра по сбору коммунальных платежей на базе ОАО «Каббалкэнерго» по принципу «единой квитанции за все виды коммунальных услуг»;</w:t>
      </w:r>
    </w:p>
    <w:p w:rsidR="00F93C8E" w:rsidRDefault="00F93C8E" w:rsidP="00AE0E97">
      <w:pPr>
        <w:numPr>
          <w:ilvl w:val="0"/>
          <w:numId w:val="38"/>
        </w:numPr>
        <w:tabs>
          <w:tab w:val="left" w:pos="284"/>
          <w:tab w:val="left" w:pos="993"/>
        </w:tabs>
        <w:ind w:left="0" w:firstLine="709"/>
        <w:jc w:val="both"/>
        <w:rPr>
          <w:lang w:eastAsia="en-US"/>
        </w:rPr>
      </w:pPr>
      <w:r>
        <w:rPr>
          <w:lang w:eastAsia="en-US"/>
        </w:rPr>
        <w:t>создание рабочей группы с участием представителей Министерства энергетики и жилищно-коммунального хозяйства КБР, руководителей ОАО «Каббалкэнерго» и предприятий ЖКХ, в задачи которой будет входить целевое распределение денежных средств.</w:t>
      </w:r>
    </w:p>
    <w:p w:rsidR="00F93C8E" w:rsidRDefault="00F93C8E" w:rsidP="00F93C8E">
      <w:pPr>
        <w:ind w:firstLine="708"/>
        <w:jc w:val="both"/>
        <w:rPr>
          <w:rFonts w:eastAsiaTheme="minorHAnsi"/>
          <w:lang w:eastAsia="en-US"/>
        </w:rPr>
      </w:pPr>
      <w:r>
        <w:rPr>
          <w:rFonts w:eastAsiaTheme="minorHAnsi"/>
          <w:lang w:eastAsia="en-US"/>
        </w:rPr>
        <w:t>С 2011 года ОАО «Каббалкэнерго» ввело практику разработки и утверждения Советом директоров планов-графиков мероприятий по снижению просроченной дебиторской задолженности за потребленную электроэнергию. Данная работа будет продолжена. В рамках выполнения этих мероприятий Обществом ведется постоянный мониторинг по выявлению проблемных потребителей, причин роста дебиторской задолженности.  Реализация плана-графика мероприятий по оптимизации расчетов с потребителями планируется по следующим направлениям:</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мониторинг роста дебиторской задолженности;</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выявление нарушений платежной дисциплины;</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направление претензий потребителям и проведение переговоров о снижении просроченной задолженности в досудебном порядке;</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частичное или полное ограничение режима энергоснабжения;</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 xml:space="preserve">взыскание просроченной задолженности в судебном порядке; </w:t>
      </w:r>
    </w:p>
    <w:p w:rsidR="00F93C8E" w:rsidRDefault="00F93C8E" w:rsidP="00F93C8E">
      <w:pPr>
        <w:tabs>
          <w:tab w:val="left" w:pos="993"/>
        </w:tabs>
        <w:ind w:firstLine="708"/>
        <w:jc w:val="both"/>
        <w:rPr>
          <w:rFonts w:eastAsiaTheme="minorHAnsi"/>
          <w:lang w:eastAsia="en-US"/>
        </w:rPr>
      </w:pPr>
      <w:r>
        <w:rPr>
          <w:rFonts w:eastAsiaTheme="minorHAnsi"/>
          <w:lang w:eastAsia="en-US"/>
        </w:rPr>
        <w:t>•</w:t>
      </w:r>
      <w:r>
        <w:rPr>
          <w:rFonts w:eastAsiaTheme="minorHAnsi"/>
          <w:lang w:eastAsia="en-US"/>
        </w:rPr>
        <w:tab/>
        <w:t>контроль погашения просроченной задолженности в рамках процедуры банкротства потребителя услуг.</w:t>
      </w:r>
    </w:p>
    <w:p w:rsidR="00F93C8E" w:rsidRDefault="00F93C8E" w:rsidP="00F93C8E">
      <w:pPr>
        <w:tabs>
          <w:tab w:val="left" w:pos="284"/>
          <w:tab w:val="left" w:pos="993"/>
        </w:tabs>
        <w:ind w:firstLine="851"/>
        <w:jc w:val="both"/>
        <w:rPr>
          <w:rFonts w:eastAsia="Calibri"/>
          <w:lang w:eastAsia="en-US"/>
        </w:rPr>
      </w:pPr>
    </w:p>
    <w:p w:rsidR="00F93C8E" w:rsidRDefault="00F93C8E" w:rsidP="00AE0E97">
      <w:pPr>
        <w:numPr>
          <w:ilvl w:val="1"/>
          <w:numId w:val="39"/>
        </w:numPr>
        <w:tabs>
          <w:tab w:val="left" w:pos="924"/>
        </w:tabs>
        <w:suppressAutoHyphens/>
        <w:snapToGrid w:val="0"/>
        <w:spacing w:after="200"/>
        <w:ind w:left="1310" w:hanging="851"/>
        <w:contextualSpacing/>
        <w:jc w:val="center"/>
        <w:rPr>
          <w:b/>
          <w:sz w:val="28"/>
          <w:lang w:eastAsia="ar-SA"/>
        </w:rPr>
      </w:pPr>
      <w:r>
        <w:rPr>
          <w:b/>
          <w:sz w:val="28"/>
          <w:lang w:eastAsia="ar-SA"/>
        </w:rPr>
        <w:t>Перспективы развития Общества</w:t>
      </w:r>
    </w:p>
    <w:p w:rsidR="00F93C8E" w:rsidRDefault="00F93C8E" w:rsidP="00F93C8E">
      <w:pPr>
        <w:tabs>
          <w:tab w:val="left" w:pos="284"/>
          <w:tab w:val="left" w:pos="993"/>
        </w:tabs>
        <w:jc w:val="both"/>
        <w:rPr>
          <w:rFonts w:eastAsia="Calibri"/>
          <w:lang w:eastAsia="en-US"/>
        </w:rPr>
      </w:pPr>
    </w:p>
    <w:p w:rsidR="00F93C8E" w:rsidRDefault="00F93C8E" w:rsidP="00F93C8E">
      <w:pPr>
        <w:spacing w:after="200"/>
        <w:ind w:firstLine="720"/>
        <w:jc w:val="both"/>
        <w:rPr>
          <w:lang w:eastAsia="en-US"/>
        </w:rPr>
      </w:pPr>
      <w:r>
        <w:rPr>
          <w:lang w:eastAsia="en-US"/>
        </w:rPr>
        <w:t>Решением Совета директоров (Протокол от 13.01.2015г. № 145) утвержден бизнес-план, включающий инвестиционную программу, целевые значения годовых и квартальных ключевых показателей эффективности Общества на 2015 год и прогноза на 2016-2019 гг. По оценкам Общества среднегодовые темпы прироста электропотребления за 2015-2019 годы составят не менее 1%. Такая динамика электропотребления повлечет за собой увеличение доходов от реализации электроэнергии на розничном рынке, что в целом будет оказывать положительное влияние на финансовые результаты деятельности Общества.</w:t>
      </w:r>
    </w:p>
    <w:p w:rsidR="00F93C8E" w:rsidRDefault="00F93C8E" w:rsidP="00F93C8E">
      <w:pPr>
        <w:ind w:firstLine="709"/>
        <w:jc w:val="center"/>
        <w:rPr>
          <w:b/>
          <w:szCs w:val="20"/>
        </w:rPr>
      </w:pPr>
      <w:r>
        <w:rPr>
          <w:b/>
          <w:szCs w:val="20"/>
        </w:rPr>
        <w:lastRenderedPageBreak/>
        <w:t>Перспективы развития общества согласно утвержденному бизнес-плану Общества на 2015 год и прогноза на 2016-2019 гг.</w:t>
      </w:r>
    </w:p>
    <w:p w:rsidR="00F93C8E" w:rsidRDefault="00F93C8E" w:rsidP="00F93C8E">
      <w:pPr>
        <w:ind w:firstLine="709"/>
        <w:jc w:val="center"/>
        <w:rPr>
          <w:b/>
          <w:szCs w:val="20"/>
        </w:rPr>
      </w:pPr>
    </w:p>
    <w:tbl>
      <w:tblPr>
        <w:tblStyle w:val="41"/>
        <w:tblW w:w="0" w:type="auto"/>
        <w:tblLook w:val="04A0" w:firstRow="1" w:lastRow="0" w:firstColumn="1" w:lastColumn="0" w:noHBand="0" w:noVBand="1"/>
      </w:tblPr>
      <w:tblGrid>
        <w:gridCol w:w="3510"/>
        <w:gridCol w:w="1148"/>
        <w:gridCol w:w="1149"/>
        <w:gridCol w:w="1149"/>
        <w:gridCol w:w="1149"/>
        <w:gridCol w:w="1149"/>
      </w:tblGrid>
      <w:tr w:rsidR="00F93C8E" w:rsidTr="00F93C8E">
        <w:trPr>
          <w:trHeight w:val="449"/>
        </w:trPr>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Показатели</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2015</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2016</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2017</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2018</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b/>
                <w:sz w:val="22"/>
                <w:szCs w:val="22"/>
                <w:lang w:eastAsia="en-US"/>
              </w:rPr>
            </w:pPr>
            <w:r>
              <w:rPr>
                <w:b/>
                <w:sz w:val="22"/>
                <w:szCs w:val="22"/>
                <w:lang w:eastAsia="en-US"/>
              </w:rPr>
              <w:t>2019</w:t>
            </w:r>
          </w:p>
        </w:tc>
      </w:tr>
      <w:tr w:rsidR="00F93C8E" w:rsidTr="00F93C8E">
        <w:trPr>
          <w:trHeight w:val="335"/>
        </w:trPr>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sz w:val="22"/>
                <w:szCs w:val="22"/>
                <w:lang w:eastAsia="en-US"/>
              </w:rPr>
            </w:pPr>
            <w:r>
              <w:rPr>
                <w:sz w:val="22"/>
                <w:szCs w:val="22"/>
                <w:lang w:eastAsia="en-US"/>
              </w:rPr>
              <w:t>Объем продаж, млн.руб.</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4060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4339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4581</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5034</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5664</w:t>
            </w:r>
          </w:p>
        </w:tc>
      </w:tr>
      <w:tr w:rsidR="00F93C8E" w:rsidTr="00F93C8E">
        <w:trPr>
          <w:trHeight w:val="335"/>
        </w:trPr>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sz w:val="22"/>
                <w:szCs w:val="22"/>
                <w:lang w:eastAsia="en-US"/>
              </w:rPr>
            </w:pPr>
            <w:r>
              <w:rPr>
                <w:color w:val="000000"/>
                <w:sz w:val="22"/>
                <w:szCs w:val="22"/>
                <w:lang w:eastAsia="en-US"/>
              </w:rPr>
              <w:t>Темп роста выручки от продаж, %</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0"/>
                <w:lang w:eastAsia="en-US"/>
              </w:rPr>
            </w:pPr>
            <w:r>
              <w:rPr>
                <w:sz w:val="22"/>
                <w:szCs w:val="20"/>
                <w:lang w:eastAsia="en-US"/>
              </w:rPr>
              <w:t>107</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0"/>
                <w:lang w:eastAsia="en-US"/>
              </w:rPr>
            </w:pPr>
            <w:r>
              <w:rPr>
                <w:sz w:val="22"/>
                <w:szCs w:val="20"/>
                <w:lang w:eastAsia="en-US"/>
              </w:rPr>
              <w:t>106</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0"/>
                <w:lang w:eastAsia="en-US"/>
              </w:rPr>
            </w:pPr>
            <w:r>
              <w:rPr>
                <w:sz w:val="22"/>
                <w:szCs w:val="20"/>
                <w:lang w:eastAsia="en-US"/>
              </w:rPr>
              <w:t>110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0"/>
                <w:lang w:eastAsia="en-US"/>
              </w:rPr>
            </w:pPr>
            <w:r>
              <w:rPr>
                <w:sz w:val="22"/>
                <w:szCs w:val="20"/>
                <w:lang w:eastAsia="en-US"/>
              </w:rPr>
              <w:t>113</w:t>
            </w:r>
          </w:p>
        </w:tc>
      </w:tr>
      <w:tr w:rsidR="00F93C8E" w:rsidTr="00F93C8E">
        <w:trPr>
          <w:trHeight w:val="335"/>
        </w:trPr>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sz w:val="22"/>
                <w:szCs w:val="22"/>
                <w:lang w:eastAsia="en-US"/>
              </w:rPr>
            </w:pPr>
            <w:r>
              <w:rPr>
                <w:sz w:val="22"/>
                <w:szCs w:val="22"/>
                <w:lang w:eastAsia="en-US"/>
              </w:rPr>
              <w:t>Рентабельность продаж, %</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1,9</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1,9</w:t>
            </w:r>
          </w:p>
        </w:tc>
      </w:tr>
      <w:tr w:rsidR="00F93C8E" w:rsidTr="00F93C8E">
        <w:tc>
          <w:tcPr>
            <w:tcW w:w="3510" w:type="dxa"/>
            <w:tcBorders>
              <w:top w:val="single" w:sz="4" w:space="0" w:color="auto"/>
              <w:left w:val="single" w:sz="4" w:space="0" w:color="auto"/>
              <w:bottom w:val="single" w:sz="4" w:space="0" w:color="auto"/>
              <w:right w:val="single" w:sz="4" w:space="0" w:color="auto"/>
            </w:tcBorders>
            <w:hideMark/>
          </w:tcPr>
          <w:p w:rsidR="00F93C8E" w:rsidRDefault="00F93C8E">
            <w:pPr>
              <w:jc w:val="both"/>
              <w:rPr>
                <w:sz w:val="22"/>
                <w:szCs w:val="22"/>
                <w:lang w:eastAsia="en-US"/>
              </w:rPr>
            </w:pPr>
            <w:r>
              <w:rPr>
                <w:sz w:val="22"/>
                <w:szCs w:val="22"/>
                <w:lang w:eastAsia="en-US"/>
              </w:rPr>
              <w:t>Соотношение собственных и заемных средств</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-0,50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-0,48</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-0,45</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-0,41</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-0,37</w:t>
            </w:r>
          </w:p>
        </w:tc>
      </w:tr>
      <w:tr w:rsidR="00F93C8E" w:rsidTr="00F93C8E">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color w:val="000000"/>
                <w:sz w:val="22"/>
                <w:szCs w:val="22"/>
                <w:lang w:eastAsia="en-US"/>
              </w:rPr>
            </w:pPr>
            <w:r>
              <w:rPr>
                <w:color w:val="000000"/>
                <w:sz w:val="22"/>
                <w:szCs w:val="22"/>
                <w:lang w:eastAsia="en-US"/>
              </w:rPr>
              <w:t>Процент оплаты за поставленную электроэнергию и мощность конечными потребителями</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r>
      <w:tr w:rsidR="00F93C8E" w:rsidTr="00F93C8E">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color w:val="000000"/>
                <w:sz w:val="22"/>
                <w:szCs w:val="22"/>
                <w:lang w:eastAsia="en-US"/>
              </w:rPr>
            </w:pPr>
            <w:r>
              <w:rPr>
                <w:color w:val="000000"/>
                <w:sz w:val="22"/>
                <w:szCs w:val="22"/>
                <w:lang w:eastAsia="en-US"/>
              </w:rPr>
              <w:t xml:space="preserve">Процент оплаты за услуги по передаче </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r>
      <w:tr w:rsidR="00F93C8E" w:rsidTr="00F93C8E">
        <w:tc>
          <w:tcPr>
            <w:tcW w:w="3510" w:type="dxa"/>
            <w:tcBorders>
              <w:top w:val="single" w:sz="4" w:space="0" w:color="auto"/>
              <w:left w:val="single" w:sz="4" w:space="0" w:color="auto"/>
              <w:bottom w:val="single" w:sz="4" w:space="0" w:color="auto"/>
              <w:right w:val="single" w:sz="4" w:space="0" w:color="auto"/>
            </w:tcBorders>
            <w:vAlign w:val="center"/>
            <w:hideMark/>
          </w:tcPr>
          <w:p w:rsidR="00F93C8E" w:rsidRDefault="00F93C8E">
            <w:pPr>
              <w:rPr>
                <w:color w:val="000000"/>
                <w:sz w:val="22"/>
                <w:szCs w:val="22"/>
                <w:lang w:eastAsia="en-US"/>
              </w:rPr>
            </w:pPr>
            <w:r>
              <w:rPr>
                <w:color w:val="000000"/>
                <w:sz w:val="22"/>
                <w:szCs w:val="22"/>
                <w:lang w:eastAsia="en-US"/>
              </w:rPr>
              <w:t xml:space="preserve">Процент оплаты поставщикам электрической энергии и мощности на ОРЭМ </w:t>
            </w:r>
          </w:p>
        </w:tc>
        <w:tc>
          <w:tcPr>
            <w:tcW w:w="1148"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c>
          <w:tcPr>
            <w:tcW w:w="1149" w:type="dxa"/>
            <w:tcBorders>
              <w:top w:val="single" w:sz="4" w:space="0" w:color="auto"/>
              <w:left w:val="single" w:sz="4" w:space="0" w:color="auto"/>
              <w:bottom w:val="single" w:sz="4" w:space="0" w:color="auto"/>
              <w:right w:val="single" w:sz="4" w:space="0" w:color="auto"/>
            </w:tcBorders>
            <w:vAlign w:val="center"/>
            <w:hideMark/>
          </w:tcPr>
          <w:p w:rsidR="00F93C8E" w:rsidRDefault="00F93C8E">
            <w:pPr>
              <w:jc w:val="center"/>
              <w:rPr>
                <w:sz w:val="22"/>
                <w:szCs w:val="22"/>
                <w:lang w:eastAsia="en-US"/>
              </w:rPr>
            </w:pPr>
            <w:r>
              <w:rPr>
                <w:sz w:val="22"/>
                <w:szCs w:val="22"/>
                <w:lang w:eastAsia="en-US"/>
              </w:rPr>
              <w:t>100%</w:t>
            </w:r>
          </w:p>
        </w:tc>
      </w:tr>
    </w:tbl>
    <w:p w:rsidR="00F93C8E" w:rsidRDefault="00F93C8E" w:rsidP="00F93C8E">
      <w:pPr>
        <w:tabs>
          <w:tab w:val="left" w:pos="142"/>
        </w:tabs>
        <w:suppressAutoHyphens/>
        <w:snapToGrid w:val="0"/>
        <w:ind w:firstLine="709"/>
        <w:jc w:val="both"/>
        <w:rPr>
          <w:lang w:eastAsia="ar-SA"/>
        </w:rPr>
      </w:pPr>
    </w:p>
    <w:p w:rsidR="00F93C8E" w:rsidRDefault="00F93C8E" w:rsidP="00F93C8E">
      <w:pPr>
        <w:tabs>
          <w:tab w:val="left" w:pos="142"/>
        </w:tabs>
        <w:suppressAutoHyphens/>
        <w:snapToGrid w:val="0"/>
        <w:ind w:firstLine="709"/>
        <w:jc w:val="both"/>
        <w:rPr>
          <w:lang w:eastAsia="ar-SA"/>
        </w:rPr>
      </w:pPr>
      <w:r>
        <w:rPr>
          <w:lang w:eastAsia="ar-SA"/>
        </w:rPr>
        <w:t>Федеральным законом от 29.12.2014 № 466 для покупателей электрической энергии (мощности), функционирующих в отдельных частях ценовых зон оптового рынка с 01 января 2015 года продлены особые условия функционирования оптового и розничного рынков электрической энергии и мощности, которые направлены на стимулирование соответствующих субъектов электроэнергетики к своевременному исполнению обязательств по оплате электрической энергии (мощности), к снижению уровня фактических потерь электрической энергии, возникающих в объектах электросетевого хозяйства на территории соответствующих регионов, а также на постепенное доведение на указанных территориях регулируемых цен (тарифов) на электрическую энергию до экономически обоснованного уровня.</w:t>
      </w:r>
    </w:p>
    <w:p w:rsidR="00F93C8E" w:rsidRDefault="00F93C8E" w:rsidP="00F93C8E">
      <w:pPr>
        <w:tabs>
          <w:tab w:val="left" w:pos="142"/>
        </w:tabs>
        <w:suppressAutoHyphens/>
        <w:snapToGrid w:val="0"/>
        <w:ind w:firstLine="709"/>
        <w:jc w:val="both"/>
        <w:rPr>
          <w:lang w:eastAsia="ar-SA"/>
        </w:rPr>
      </w:pPr>
    </w:p>
    <w:p w:rsidR="00F93C8E" w:rsidRDefault="00F93C8E" w:rsidP="00F93C8E">
      <w:pPr>
        <w:tabs>
          <w:tab w:val="left" w:pos="142"/>
        </w:tabs>
        <w:suppressAutoHyphens/>
        <w:snapToGrid w:val="0"/>
        <w:ind w:firstLine="709"/>
        <w:jc w:val="both"/>
        <w:rPr>
          <w:b/>
          <w:lang w:eastAsia="ar-SA"/>
        </w:rPr>
      </w:pPr>
      <w:r>
        <w:rPr>
          <w:lang w:eastAsia="ar-SA"/>
        </w:rPr>
        <w:t xml:space="preserve"> </w:t>
      </w:r>
      <w:r>
        <w:rPr>
          <w:b/>
          <w:lang w:eastAsia="ar-SA"/>
        </w:rPr>
        <w:t>Мероприятия  по развитию человеческого капитала, запланированные на последующие годы:</w:t>
      </w:r>
    </w:p>
    <w:p w:rsidR="00F93C8E" w:rsidRDefault="00F93C8E" w:rsidP="00F93C8E">
      <w:pPr>
        <w:ind w:left="709"/>
        <w:contextualSpacing/>
        <w:rPr>
          <w:rFonts w:eastAsia="Calibri"/>
          <w:lang w:eastAsia="en-US"/>
        </w:rPr>
      </w:pPr>
      <w:r>
        <w:rPr>
          <w:rFonts w:eastAsia="Calibri"/>
          <w:lang w:eastAsia="en-US"/>
        </w:rPr>
        <w:t>- совершенствование системы подготовки, переподготовки и обучения персонала;</w:t>
      </w:r>
    </w:p>
    <w:p w:rsidR="00F93C8E" w:rsidRDefault="00F93C8E" w:rsidP="00F93C8E">
      <w:pPr>
        <w:ind w:left="709"/>
        <w:contextualSpacing/>
        <w:rPr>
          <w:rFonts w:eastAsia="Calibri"/>
          <w:lang w:eastAsia="en-US"/>
        </w:rPr>
      </w:pPr>
      <w:r>
        <w:rPr>
          <w:rFonts w:eastAsia="Calibri"/>
          <w:lang w:eastAsia="en-US"/>
        </w:rPr>
        <w:t>- внедрение программ внутреннего обучения, дистанционных тренингов, специальных профильных подготовительных курсов;</w:t>
      </w:r>
    </w:p>
    <w:p w:rsidR="00F93C8E" w:rsidRDefault="00F93C8E" w:rsidP="00F93C8E">
      <w:pPr>
        <w:ind w:left="709"/>
        <w:contextualSpacing/>
        <w:rPr>
          <w:rFonts w:eastAsia="Calibri"/>
          <w:lang w:eastAsia="en-US"/>
        </w:rPr>
      </w:pPr>
      <w:r>
        <w:rPr>
          <w:rFonts w:eastAsia="Calibri"/>
          <w:lang w:eastAsia="en-US"/>
        </w:rPr>
        <w:t>- совершенствование системы подготовки кадрового резерва;</w:t>
      </w:r>
    </w:p>
    <w:p w:rsidR="00F93C8E" w:rsidRDefault="00F93C8E" w:rsidP="00F93C8E">
      <w:pPr>
        <w:ind w:left="709"/>
        <w:contextualSpacing/>
        <w:rPr>
          <w:rFonts w:eastAsia="Calibri"/>
          <w:lang w:eastAsia="en-US"/>
        </w:rPr>
      </w:pPr>
      <w:r>
        <w:rPr>
          <w:rFonts w:eastAsia="Calibri"/>
          <w:lang w:eastAsia="en-US"/>
        </w:rPr>
        <w:t>- развитие системы наставничества, проведение мастер-классов опытными работниками;</w:t>
      </w:r>
    </w:p>
    <w:p w:rsidR="00F93C8E" w:rsidRDefault="00F93C8E" w:rsidP="00F93C8E">
      <w:pPr>
        <w:ind w:left="709"/>
        <w:contextualSpacing/>
        <w:rPr>
          <w:rFonts w:eastAsia="Calibri"/>
          <w:lang w:eastAsia="en-US"/>
        </w:rPr>
      </w:pPr>
      <w:r>
        <w:rPr>
          <w:rFonts w:eastAsia="Calibri"/>
          <w:lang w:eastAsia="en-US"/>
        </w:rPr>
        <w:t>- реализация  социальных программ.</w:t>
      </w:r>
    </w:p>
    <w:p w:rsidR="00F93C8E" w:rsidRDefault="00F93C8E" w:rsidP="00F93C8E">
      <w:pPr>
        <w:ind w:firstLine="709"/>
        <w:jc w:val="both"/>
        <w:rPr>
          <w:b/>
          <w:szCs w:val="20"/>
        </w:rPr>
      </w:pPr>
    </w:p>
    <w:p w:rsidR="00F93C8E" w:rsidRDefault="00F93C8E" w:rsidP="00F93C8E">
      <w:pPr>
        <w:ind w:firstLine="709"/>
        <w:jc w:val="both"/>
        <w:rPr>
          <w:b/>
          <w:szCs w:val="20"/>
        </w:rPr>
      </w:pPr>
      <w:r>
        <w:rPr>
          <w:b/>
          <w:szCs w:val="20"/>
        </w:rPr>
        <w:t>Перспективы развития работы по связям с общественностью, органами государственной власти и средствами массовой информации.</w:t>
      </w:r>
    </w:p>
    <w:p w:rsidR="00F93C8E" w:rsidRDefault="00F93C8E" w:rsidP="00F93C8E">
      <w:pPr>
        <w:ind w:firstLine="709"/>
        <w:jc w:val="both"/>
        <w:rPr>
          <w:szCs w:val="20"/>
        </w:rPr>
      </w:pPr>
    </w:p>
    <w:p w:rsidR="00F93C8E" w:rsidRDefault="00F93C8E" w:rsidP="00F93C8E">
      <w:pPr>
        <w:ind w:firstLine="709"/>
        <w:jc w:val="both"/>
        <w:rPr>
          <w:szCs w:val="20"/>
        </w:rPr>
      </w:pPr>
      <w:r>
        <w:rPr>
          <w:szCs w:val="20"/>
        </w:rPr>
        <w:t xml:space="preserve">В 2015 году ОАО «Каббалкэнерго» продолжит работу по связям с общественностью, органами власти и СМИ в рамках единой информационной политики гарантирующих поставщиков СКФО и Республики Калмыкия ДЗО ОАО «Россети». </w:t>
      </w:r>
    </w:p>
    <w:p w:rsidR="00F93C8E" w:rsidRDefault="00F93C8E" w:rsidP="00F93C8E">
      <w:pPr>
        <w:ind w:firstLine="709"/>
        <w:jc w:val="both"/>
        <w:rPr>
          <w:szCs w:val="20"/>
        </w:rPr>
      </w:pPr>
      <w:r>
        <w:rPr>
          <w:szCs w:val="20"/>
        </w:rPr>
        <w:t>Будет продолжена традиция проведения конкурса лучших потребителей – юридических лиц «Золотая опора», благотворительная деятельность Общества, в частности акция «Подари детям свет и тепло», а также реализация акции «Спасибо за победу!» и программы «Энергетик – достойная профессия».</w:t>
      </w:r>
    </w:p>
    <w:p w:rsidR="00F93C8E" w:rsidRDefault="00F93C8E" w:rsidP="00F93C8E">
      <w:pPr>
        <w:ind w:firstLine="709"/>
        <w:jc w:val="both"/>
        <w:rPr>
          <w:szCs w:val="20"/>
        </w:rPr>
      </w:pPr>
      <w:r>
        <w:rPr>
          <w:szCs w:val="20"/>
        </w:rPr>
        <w:t xml:space="preserve">В рамках PR-компании «Честный киловатт», с целью профилактики хищений электроэнергии, соблюдения потребителями платежной дисциплины и снижения </w:t>
      </w:r>
      <w:r>
        <w:rPr>
          <w:szCs w:val="20"/>
        </w:rPr>
        <w:lastRenderedPageBreak/>
        <w:t>дебиторской задолженности, в 2015 году будут проводиться рейды по адресам злостных неплательщиков совместно с правоохранительными органами, с освещением их итогов в республиканских СМИ и на медиа-ресурсах ОАО «Каббалкэнерго».</w:t>
      </w:r>
    </w:p>
    <w:p w:rsidR="00F93C8E" w:rsidRDefault="00F93C8E" w:rsidP="00F93C8E">
      <w:pPr>
        <w:keepNext/>
        <w:spacing w:before="240" w:after="60"/>
        <w:ind w:firstLine="720"/>
        <w:outlineLvl w:val="2"/>
        <w:rPr>
          <w:b/>
          <w:bCs/>
        </w:rPr>
      </w:pPr>
      <w:r>
        <w:rPr>
          <w:b/>
          <w:bCs/>
        </w:rPr>
        <w:t>Перспективы развития информационных технологий и коммуникаций</w:t>
      </w:r>
    </w:p>
    <w:p w:rsidR="00F93C8E" w:rsidRDefault="00F93C8E" w:rsidP="00F93C8E">
      <w:pPr>
        <w:ind w:left="720"/>
      </w:pPr>
      <w:r>
        <w:t>Основные направления и задачи, планируемые на 2015 год:</w:t>
      </w:r>
    </w:p>
    <w:p w:rsidR="00F93C8E" w:rsidRDefault="00F93C8E" w:rsidP="00AE0E97">
      <w:pPr>
        <w:numPr>
          <w:ilvl w:val="0"/>
          <w:numId w:val="40"/>
        </w:numPr>
        <w:jc w:val="both"/>
      </w:pPr>
      <w:r>
        <w:t>внедрение системы защиты персональных данных (ИСПДн) по физическим лицам на сервере «Стек-Энерго»;</w:t>
      </w:r>
    </w:p>
    <w:p w:rsidR="00F93C8E" w:rsidRDefault="00F93C8E" w:rsidP="00AE0E97">
      <w:pPr>
        <w:numPr>
          <w:ilvl w:val="0"/>
          <w:numId w:val="40"/>
        </w:numPr>
        <w:jc w:val="both"/>
      </w:pPr>
      <w:r>
        <w:t>осуществить переход на версию 8.3  «1С-Бухгалтерия»;</w:t>
      </w:r>
    </w:p>
    <w:p w:rsidR="00F93C8E" w:rsidRDefault="00F93C8E" w:rsidP="00AE0E97">
      <w:pPr>
        <w:numPr>
          <w:ilvl w:val="0"/>
          <w:numId w:val="40"/>
        </w:numPr>
        <w:jc w:val="both"/>
      </w:pPr>
      <w:r>
        <w:t>внедрение  дополнительных модулей «Стек-Энерго»:</w:t>
      </w:r>
    </w:p>
    <w:p w:rsidR="00F93C8E" w:rsidRDefault="00F93C8E" w:rsidP="00AE0E97">
      <w:pPr>
        <w:numPr>
          <w:ilvl w:val="1"/>
          <w:numId w:val="41"/>
        </w:numPr>
        <w:jc w:val="both"/>
      </w:pPr>
      <w:r>
        <w:t>личный кабинет</w:t>
      </w:r>
    </w:p>
    <w:p w:rsidR="00F93C8E" w:rsidRDefault="00F93C8E" w:rsidP="00AE0E97">
      <w:pPr>
        <w:numPr>
          <w:ilvl w:val="1"/>
          <w:numId w:val="41"/>
        </w:numPr>
        <w:jc w:val="both"/>
      </w:pPr>
      <w:r>
        <w:t>мобильный контроллер</w:t>
      </w:r>
    </w:p>
    <w:p w:rsidR="00F93C8E" w:rsidRDefault="00F93C8E" w:rsidP="00AE0E97">
      <w:pPr>
        <w:numPr>
          <w:ilvl w:val="1"/>
          <w:numId w:val="41"/>
        </w:numPr>
        <w:jc w:val="both"/>
      </w:pPr>
      <w:r>
        <w:t>СМС-сервис</w:t>
      </w:r>
    </w:p>
    <w:p w:rsidR="00F93C8E" w:rsidRDefault="00F93C8E" w:rsidP="00AE0E97">
      <w:pPr>
        <w:numPr>
          <w:ilvl w:val="1"/>
          <w:numId w:val="41"/>
        </w:numPr>
        <w:jc w:val="both"/>
      </w:pPr>
      <w:r>
        <w:t>платежные сервисы</w:t>
      </w:r>
    </w:p>
    <w:p w:rsidR="00F93C8E" w:rsidRDefault="00F93C8E" w:rsidP="00AE0E97">
      <w:pPr>
        <w:numPr>
          <w:ilvl w:val="0"/>
          <w:numId w:val="42"/>
        </w:numPr>
        <w:jc w:val="both"/>
      </w:pPr>
      <w:r>
        <w:t>создание одного отказоустойчивого шлюза;</w:t>
      </w:r>
      <w:r>
        <w:rPr>
          <w:lang w:val="en-US"/>
        </w:rPr>
        <w:t xml:space="preserve"> </w:t>
      </w:r>
    </w:p>
    <w:p w:rsidR="00F93C8E" w:rsidRDefault="00F93C8E" w:rsidP="00AE0E97">
      <w:pPr>
        <w:numPr>
          <w:ilvl w:val="0"/>
          <w:numId w:val="42"/>
        </w:numPr>
        <w:jc w:val="both"/>
      </w:pPr>
      <w:r>
        <w:t>создание одного прокси-сервера для  всех провайдеров;</w:t>
      </w:r>
    </w:p>
    <w:p w:rsidR="00F93C8E" w:rsidRDefault="00F93C8E" w:rsidP="00AE0E97">
      <w:pPr>
        <w:numPr>
          <w:ilvl w:val="0"/>
          <w:numId w:val="42"/>
        </w:numPr>
        <w:jc w:val="both"/>
      </w:pPr>
      <w:r>
        <w:t>организация одного шлюза в ЛВС для всех подсетей, с автоматической  балансировкой всех существующих каналов связи;</w:t>
      </w:r>
    </w:p>
    <w:p w:rsidR="00F93C8E" w:rsidRDefault="00F93C8E" w:rsidP="00AE0E97">
      <w:pPr>
        <w:numPr>
          <w:ilvl w:val="0"/>
          <w:numId w:val="42"/>
        </w:numPr>
        <w:jc w:val="both"/>
      </w:pPr>
      <w:r>
        <w:t xml:space="preserve">расширение использования </w:t>
      </w:r>
      <w:r>
        <w:rPr>
          <w:lang w:val="en-US"/>
        </w:rPr>
        <w:t>IP</w:t>
      </w:r>
      <w:r>
        <w:t>-телефонии на базе системы «</w:t>
      </w:r>
      <w:r>
        <w:rPr>
          <w:lang w:val="en-US"/>
        </w:rPr>
        <w:t>Kerio</w:t>
      </w:r>
      <w:r w:rsidRPr="00F93C8E">
        <w:t xml:space="preserve"> </w:t>
      </w:r>
      <w:r>
        <w:rPr>
          <w:lang w:val="en-US"/>
        </w:rPr>
        <w:t>Operator</w:t>
      </w:r>
      <w:r>
        <w:t>»;</w:t>
      </w:r>
    </w:p>
    <w:p w:rsidR="00F93C8E" w:rsidRDefault="00F93C8E" w:rsidP="00AE0E97">
      <w:pPr>
        <w:numPr>
          <w:ilvl w:val="0"/>
          <w:numId w:val="42"/>
        </w:numPr>
        <w:jc w:val="both"/>
      </w:pPr>
      <w:r>
        <w:t>модернизация парка рабочих станций и офисного оборудования.</w:t>
      </w:r>
    </w:p>
    <w:p w:rsidR="005A41AB" w:rsidRDefault="005A41AB" w:rsidP="005A41AB">
      <w:pPr>
        <w:ind w:left="1080"/>
        <w:jc w:val="both"/>
      </w:pPr>
    </w:p>
    <w:p w:rsidR="00F93C8E" w:rsidRPr="003028AA" w:rsidRDefault="00F93C8E" w:rsidP="00AE0E97">
      <w:pPr>
        <w:pStyle w:val="a9"/>
        <w:numPr>
          <w:ilvl w:val="2"/>
          <w:numId w:val="39"/>
        </w:numPr>
        <w:tabs>
          <w:tab w:val="left" w:pos="0"/>
        </w:tabs>
        <w:suppressAutoHyphens/>
        <w:snapToGrid w:val="0"/>
        <w:jc w:val="center"/>
        <w:rPr>
          <w:b/>
          <w:sz w:val="28"/>
          <w:lang w:eastAsia="ar-SA"/>
        </w:rPr>
      </w:pPr>
      <w:r w:rsidRPr="003028AA">
        <w:rPr>
          <w:b/>
          <w:sz w:val="28"/>
          <w:lang w:eastAsia="ar-SA"/>
        </w:rPr>
        <w:t>Перспективы повышения качества обслуживания потребителей</w:t>
      </w:r>
    </w:p>
    <w:p w:rsidR="00F93C8E" w:rsidRDefault="00F93C8E" w:rsidP="00F93C8E">
      <w:pPr>
        <w:tabs>
          <w:tab w:val="left" w:pos="0"/>
        </w:tabs>
        <w:suppressAutoHyphens/>
        <w:snapToGrid w:val="0"/>
        <w:ind w:firstLine="709"/>
        <w:jc w:val="both"/>
        <w:rPr>
          <w:b/>
          <w:sz w:val="28"/>
          <w:lang w:eastAsia="ar-SA"/>
        </w:rPr>
      </w:pPr>
    </w:p>
    <w:p w:rsidR="00F93C8E" w:rsidRDefault="00F93C8E" w:rsidP="00F93C8E">
      <w:pPr>
        <w:tabs>
          <w:tab w:val="left" w:pos="0"/>
        </w:tabs>
        <w:suppressAutoHyphens/>
        <w:snapToGrid w:val="0"/>
        <w:ind w:firstLine="709"/>
        <w:jc w:val="both"/>
        <w:rPr>
          <w:lang w:eastAsia="ar-SA"/>
        </w:rPr>
      </w:pPr>
      <w:r>
        <w:rPr>
          <w:b/>
          <w:sz w:val="28"/>
          <w:lang w:eastAsia="ar-SA"/>
        </w:rPr>
        <w:t xml:space="preserve"> </w:t>
      </w:r>
      <w:r>
        <w:rPr>
          <w:lang w:eastAsia="ar-SA"/>
        </w:rPr>
        <w:t xml:space="preserve">Основные положения функционирования розничных рынков электрической энергии, утвержденные Постановлением Правительства РФ от 04.05.2012г. № 442, предъявляют требования к гарантирующим поставщикам по повышению качества обслуживания потребителей. </w:t>
      </w:r>
    </w:p>
    <w:p w:rsidR="00F93C8E" w:rsidRDefault="00F93C8E" w:rsidP="00F93C8E">
      <w:pPr>
        <w:tabs>
          <w:tab w:val="left" w:pos="0"/>
        </w:tabs>
        <w:suppressAutoHyphens/>
        <w:snapToGrid w:val="0"/>
        <w:ind w:firstLine="709"/>
        <w:jc w:val="both"/>
        <w:rPr>
          <w:rFonts w:eastAsia="Calibri"/>
          <w:lang w:eastAsia="en-US"/>
        </w:rPr>
      </w:pPr>
      <w:r>
        <w:rPr>
          <w:lang w:eastAsia="ar-SA"/>
        </w:rPr>
        <w:t xml:space="preserve">В целях исполнения этих требований, а также реализации положений Стандарта обслуживания клиентов, утвержденного приказом ОАО «Каббалкэнерго» от 10.12.2012 №93 разработана Программа мероприятий повышения качества обслуживания потребителей (покупателей) электрической энергии. Реализация Программы запланирована на период 2013-2016 гг. и включает мероприятия по повышению качества обслуживания потребителей (покупателей) электрической энергии. Общий объем финансирования Программы мероприятий по повышению качества обслуживания потребителей (покупателей) электрической энергии ОАО «Каббалкэнерго» составляет 39,5 млн. рублей. В рамках указанной Программы на 2015 год запланировано </w:t>
      </w:r>
      <w:r>
        <w:rPr>
          <w:rFonts w:eastAsia="Calibri"/>
          <w:lang w:eastAsia="en-US"/>
        </w:rPr>
        <w:t>открытие 4 центров обслуживания клиентов в районных центрах муниципальных районов Кабардино-Балкарской Республики (Чегемский, Урванский, Майский, Прохладненский районы). Планируемая сумма расходов на открытие ЦОК в 2015 году – 7,0 млн.руб. В целях упорядочения процесса организации открытия ЦОК приказом Генерального директора Общества от 21.01.2015 № 7 утвержден Сетевой график открытия центров обслуживания клиентов ОАО «Каббалкэнерго» на 2015 год.</w:t>
      </w:r>
    </w:p>
    <w:p w:rsidR="00F93C8E" w:rsidRDefault="00F93C8E" w:rsidP="00F93C8E">
      <w:pPr>
        <w:tabs>
          <w:tab w:val="left" w:pos="0"/>
        </w:tabs>
        <w:suppressAutoHyphens/>
        <w:snapToGrid w:val="0"/>
        <w:ind w:firstLine="709"/>
        <w:jc w:val="both"/>
        <w:rPr>
          <w:lang w:eastAsia="ar-SA"/>
        </w:rPr>
      </w:pPr>
      <w:r>
        <w:rPr>
          <w:lang w:eastAsia="ar-SA"/>
        </w:rPr>
        <w:t>Открытие дополнительных центров очного и заочного обслуживания различных групп потребителей, бесплатные телефонные каналы связи между гарантирующим поставщиком и абонентами – эти и другие современные технологии, уже используемые гарантирующими поставщиками в работе, предстоит усовершенствовать для исполнения требований, предъявляемых законодательством РФ в области электроэнергетики.</w:t>
      </w:r>
    </w:p>
    <w:p w:rsidR="00F93C8E" w:rsidRDefault="00F93C8E" w:rsidP="00F93C8E">
      <w:pPr>
        <w:tabs>
          <w:tab w:val="left" w:pos="0"/>
        </w:tabs>
        <w:suppressAutoHyphens/>
        <w:snapToGrid w:val="0"/>
        <w:ind w:firstLine="709"/>
        <w:jc w:val="both"/>
        <w:rPr>
          <w:lang w:eastAsia="ar-SA"/>
        </w:rPr>
      </w:pPr>
      <w:r>
        <w:rPr>
          <w:lang w:eastAsia="ar-SA"/>
        </w:rPr>
        <w:t xml:space="preserve">Улучшая систему обслуживания клиентов, ОАО «Каббалкэнерго» намерено также проводить анализ и совершенствование сбытовой деятельности с учетом потребностей клиентов, реализовывать программу внедрения современных инструментов оплаты электроэнергии. В частности планируется дальнейшее расширение системы приема оплаты </w:t>
      </w:r>
      <w:r>
        <w:rPr>
          <w:lang w:eastAsia="ar-SA"/>
        </w:rPr>
        <w:lastRenderedPageBreak/>
        <w:t>за электроэнергию через платежные системы в сети Интернет и другие средства, предоставляющие потребителям больше возможностей для оплаты потребленной электроэнергии.</w:t>
      </w:r>
    </w:p>
    <w:p w:rsidR="00771B62" w:rsidRPr="00771B62" w:rsidRDefault="00771B62" w:rsidP="00771B62">
      <w:pPr>
        <w:ind w:firstLine="709"/>
        <w:jc w:val="both"/>
      </w:pPr>
    </w:p>
    <w:p w:rsidR="00771B62" w:rsidRDefault="00771B62" w:rsidP="00875CC9">
      <w:pPr>
        <w:spacing w:after="200"/>
        <w:ind w:firstLine="708"/>
        <w:jc w:val="both"/>
        <w:rPr>
          <w:rFonts w:eastAsiaTheme="minorHAnsi"/>
          <w:lang w:eastAsia="en-US"/>
        </w:rPr>
      </w:pPr>
    </w:p>
    <w:p w:rsidR="00275B00" w:rsidRDefault="00275B00" w:rsidP="00875CC9">
      <w:pPr>
        <w:spacing w:after="200"/>
        <w:ind w:firstLine="708"/>
        <w:jc w:val="both"/>
        <w:rPr>
          <w:rFonts w:eastAsiaTheme="minorHAnsi"/>
          <w:lang w:eastAsia="en-US"/>
        </w:rPr>
      </w:pPr>
    </w:p>
    <w:p w:rsidR="00275B00" w:rsidRDefault="00275B00" w:rsidP="00875CC9">
      <w:pPr>
        <w:spacing w:after="200"/>
        <w:ind w:firstLine="708"/>
        <w:jc w:val="both"/>
        <w:rPr>
          <w:rFonts w:eastAsiaTheme="minorHAnsi"/>
          <w:lang w:eastAsia="en-US"/>
        </w:rPr>
      </w:pPr>
    </w:p>
    <w:p w:rsidR="00275B00" w:rsidRDefault="00275B00" w:rsidP="00875CC9">
      <w:pPr>
        <w:spacing w:after="200"/>
        <w:ind w:firstLine="708"/>
        <w:jc w:val="both"/>
        <w:rPr>
          <w:rFonts w:eastAsiaTheme="minorHAnsi"/>
          <w:lang w:eastAsia="en-US"/>
        </w:rPr>
      </w:pPr>
    </w:p>
    <w:p w:rsidR="00275B00" w:rsidRDefault="00275B00" w:rsidP="00875CC9">
      <w:pPr>
        <w:spacing w:after="200"/>
        <w:ind w:firstLine="708"/>
        <w:jc w:val="both"/>
        <w:rPr>
          <w:rFonts w:eastAsiaTheme="minorHAnsi"/>
          <w:lang w:eastAsia="en-US"/>
        </w:rPr>
      </w:pPr>
    </w:p>
    <w:p w:rsidR="005A262C" w:rsidRDefault="005A262C"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3028AA" w:rsidRDefault="003028AA" w:rsidP="003028AA">
      <w:pPr>
        <w:spacing w:after="200"/>
        <w:jc w:val="both"/>
        <w:rPr>
          <w:rFonts w:eastAsiaTheme="minorHAnsi"/>
          <w:lang w:eastAsia="en-US"/>
        </w:rPr>
      </w:pPr>
    </w:p>
    <w:p w:rsidR="00275B00" w:rsidRPr="00275B00" w:rsidRDefault="00275B00" w:rsidP="00275B00">
      <w:pPr>
        <w:jc w:val="center"/>
        <w:rPr>
          <w:b/>
          <w:sz w:val="28"/>
        </w:rPr>
      </w:pPr>
      <w:r w:rsidRPr="00275B00">
        <w:rPr>
          <w:b/>
          <w:sz w:val="28"/>
        </w:rPr>
        <w:lastRenderedPageBreak/>
        <w:t>Контактная информация</w:t>
      </w:r>
    </w:p>
    <w:p w:rsidR="00275B00" w:rsidRPr="00275B00" w:rsidRDefault="00275B00" w:rsidP="00275B00">
      <w:pPr>
        <w:rPr>
          <w:b/>
        </w:rPr>
      </w:pPr>
    </w:p>
    <w:p w:rsidR="00275B00" w:rsidRPr="00275B00" w:rsidRDefault="00275B00" w:rsidP="00275B00">
      <w:pPr>
        <w:spacing w:after="240"/>
        <w:rPr>
          <w:b/>
        </w:rPr>
      </w:pPr>
      <w:r w:rsidRPr="00275B00">
        <w:rPr>
          <w:b/>
        </w:rPr>
        <w:t xml:space="preserve">Полное фирменное наименование </w:t>
      </w:r>
    </w:p>
    <w:p w:rsidR="00275B00" w:rsidRPr="00275B00" w:rsidRDefault="00275B00" w:rsidP="00275B00">
      <w:r w:rsidRPr="00275B00">
        <w:t>Кабардино–Балкарское открытое акционерное общество энергетики и электрификации</w:t>
      </w:r>
    </w:p>
    <w:p w:rsidR="00275B00" w:rsidRPr="00275B00" w:rsidRDefault="00275B00" w:rsidP="00275B00">
      <w:pPr>
        <w:rPr>
          <w:b/>
        </w:rPr>
      </w:pPr>
    </w:p>
    <w:p w:rsidR="00275B00" w:rsidRPr="00275B00" w:rsidRDefault="00275B00" w:rsidP="00275B00">
      <w:pPr>
        <w:spacing w:after="240"/>
        <w:rPr>
          <w:b/>
        </w:rPr>
      </w:pPr>
      <w:r w:rsidRPr="00275B00">
        <w:rPr>
          <w:b/>
        </w:rPr>
        <w:t xml:space="preserve">Сокращенное фирменное наименование  </w:t>
      </w:r>
    </w:p>
    <w:p w:rsidR="00275B00" w:rsidRPr="00275B00" w:rsidRDefault="00275B00" w:rsidP="00275B00">
      <w:r w:rsidRPr="00275B00">
        <w:t>ОАО «Каббалкэнерго»</w:t>
      </w:r>
    </w:p>
    <w:p w:rsidR="00275B00" w:rsidRPr="00275B00" w:rsidRDefault="00275B00" w:rsidP="00275B00"/>
    <w:p w:rsidR="00275B00" w:rsidRPr="00275B00" w:rsidRDefault="00275B00" w:rsidP="00275B00">
      <w:pPr>
        <w:spacing w:after="240"/>
        <w:rPr>
          <w:b/>
        </w:rPr>
      </w:pPr>
      <w:r w:rsidRPr="00275B00">
        <w:rPr>
          <w:b/>
        </w:rPr>
        <w:t>Место нахождения</w:t>
      </w:r>
    </w:p>
    <w:p w:rsidR="00275B00" w:rsidRPr="00275B00" w:rsidRDefault="00275B00" w:rsidP="00275B00">
      <w:r w:rsidRPr="00275B00">
        <w:t>360000, Россия, Кабардино-Балкарская Республика, г. Нальчик, ул. Щорса, д. 6</w:t>
      </w:r>
    </w:p>
    <w:p w:rsidR="00275B00" w:rsidRPr="00275B00" w:rsidRDefault="00275B00" w:rsidP="00275B00"/>
    <w:p w:rsidR="00275B00" w:rsidRPr="00275B00" w:rsidRDefault="00275B00" w:rsidP="00275B00">
      <w:pPr>
        <w:spacing w:after="240"/>
        <w:rPr>
          <w:b/>
        </w:rPr>
      </w:pPr>
      <w:r w:rsidRPr="00275B00">
        <w:rPr>
          <w:b/>
        </w:rPr>
        <w:t>Почтовый адрес</w:t>
      </w:r>
    </w:p>
    <w:p w:rsidR="00275B00" w:rsidRPr="00275B00" w:rsidRDefault="00275B00" w:rsidP="00275B00">
      <w:r w:rsidRPr="00275B00">
        <w:t>360000, Россия, Кабардино-Балкарская Республика, г. Нальчик, ул. Щорса, д. 6</w:t>
      </w:r>
    </w:p>
    <w:p w:rsidR="00275B00" w:rsidRPr="00275B00" w:rsidRDefault="00275B00" w:rsidP="00275B00">
      <w:pPr>
        <w:rPr>
          <w:iCs/>
        </w:rPr>
      </w:pPr>
    </w:p>
    <w:p w:rsidR="00275B00" w:rsidRPr="00275B00" w:rsidRDefault="00275B00" w:rsidP="00275B00">
      <w:pPr>
        <w:spacing w:after="240"/>
        <w:rPr>
          <w:iCs/>
        </w:rPr>
      </w:pPr>
      <w:r w:rsidRPr="00275B00">
        <w:rPr>
          <w:b/>
          <w:iCs/>
        </w:rPr>
        <w:t xml:space="preserve">Корпоративный Интернет-сайт - </w:t>
      </w:r>
      <w:r w:rsidRPr="00275B00">
        <w:t>www.kabbalkenergo</w:t>
      </w:r>
      <w:r w:rsidRPr="00275B00">
        <w:rPr>
          <w:color w:val="0000FF"/>
        </w:rPr>
        <w:t>.</w:t>
      </w:r>
      <w:r w:rsidRPr="00275B00">
        <w:t>ru</w:t>
      </w:r>
      <w:r w:rsidRPr="00275B00">
        <w:rPr>
          <w:color w:val="0000FF"/>
        </w:rPr>
        <w:t xml:space="preserve"> </w:t>
      </w:r>
    </w:p>
    <w:p w:rsidR="00275B00" w:rsidRPr="00275B00" w:rsidRDefault="00275B00" w:rsidP="00275B00">
      <w:pPr>
        <w:spacing w:after="240"/>
        <w:rPr>
          <w:b/>
        </w:rPr>
      </w:pPr>
      <w:r w:rsidRPr="00275B00">
        <w:rPr>
          <w:b/>
          <w:lang w:eastAsia="ar-SA"/>
        </w:rPr>
        <w:t>О</w:t>
      </w:r>
      <w:r w:rsidRPr="00275B00">
        <w:rPr>
          <w:rFonts w:eastAsia="Arial"/>
          <w:b/>
          <w:lang w:eastAsia="ar-SA"/>
        </w:rPr>
        <w:t xml:space="preserve">сновной государственный регистрационный номер - </w:t>
      </w:r>
      <w:r w:rsidRPr="00275B00">
        <w:rPr>
          <w:b/>
        </w:rPr>
        <w:t>1020700746901</w:t>
      </w:r>
    </w:p>
    <w:p w:rsidR="00275B00" w:rsidRPr="00275B00" w:rsidRDefault="00275B00" w:rsidP="00275B00">
      <w:pPr>
        <w:spacing w:after="240"/>
        <w:rPr>
          <w:b/>
        </w:rPr>
      </w:pPr>
      <w:r w:rsidRPr="00275B00">
        <w:rPr>
          <w:b/>
        </w:rPr>
        <w:t>ИНН 0711008455; КПП 072601001</w:t>
      </w:r>
    </w:p>
    <w:p w:rsidR="00275B00" w:rsidRPr="00275B00" w:rsidRDefault="00275B00" w:rsidP="00275B00">
      <w:r w:rsidRPr="00275B00">
        <w:rPr>
          <w:b/>
        </w:rPr>
        <w:t>Банковские реквизиты:</w:t>
      </w:r>
    </w:p>
    <w:p w:rsidR="00275B00" w:rsidRPr="00275B00" w:rsidRDefault="00275B00" w:rsidP="00275B00">
      <w:r w:rsidRPr="00275B00">
        <w:t>Расчетный счет №: 40702810060330101253</w:t>
      </w:r>
    </w:p>
    <w:p w:rsidR="00275B00" w:rsidRPr="00275B00" w:rsidRDefault="00275B00" w:rsidP="00275B00">
      <w:r w:rsidRPr="00275B00">
        <w:t>Кабардино-Балкарское отделение № 8631 Северо-Кавказский Банк г. Ставрополь</w:t>
      </w:r>
    </w:p>
    <w:p w:rsidR="00275B00" w:rsidRPr="00275B00" w:rsidRDefault="00275B00" w:rsidP="00275B00">
      <w:r w:rsidRPr="00275B00">
        <w:t>Корр.счет №: 30101810600000000660</w:t>
      </w:r>
    </w:p>
    <w:p w:rsidR="00275B00" w:rsidRPr="00275B00" w:rsidRDefault="00275B00" w:rsidP="00275B00">
      <w:r w:rsidRPr="00275B00">
        <w:t>БИК: 040702660</w:t>
      </w:r>
    </w:p>
    <w:p w:rsidR="00275B00" w:rsidRPr="00275B00" w:rsidRDefault="00275B00" w:rsidP="00275B00">
      <w:pPr>
        <w:rPr>
          <w:b/>
        </w:rPr>
      </w:pPr>
    </w:p>
    <w:p w:rsidR="00275B00" w:rsidRPr="00275B00" w:rsidRDefault="00275B00" w:rsidP="00275B00">
      <w:r w:rsidRPr="00275B00">
        <w:rPr>
          <w:b/>
        </w:rPr>
        <w:t xml:space="preserve">Телефон </w:t>
      </w:r>
      <w:r w:rsidRPr="00275B00">
        <w:t xml:space="preserve">(8662) 77-32-17; </w:t>
      </w:r>
      <w:r w:rsidRPr="00275B00">
        <w:rPr>
          <w:b/>
        </w:rPr>
        <w:t xml:space="preserve">Факс </w:t>
      </w:r>
      <w:r w:rsidRPr="00275B00">
        <w:t>(8662) 77-11-00.</w:t>
      </w:r>
    </w:p>
    <w:p w:rsidR="00275B00" w:rsidRPr="00275B00" w:rsidRDefault="00275B00" w:rsidP="00275B00">
      <w:pPr>
        <w:rPr>
          <w:b/>
        </w:rPr>
      </w:pPr>
    </w:p>
    <w:p w:rsidR="00275B00" w:rsidRPr="00275B00" w:rsidRDefault="00275B00" w:rsidP="00275B00">
      <w:pPr>
        <w:rPr>
          <w:b/>
        </w:rPr>
      </w:pPr>
      <w:r w:rsidRPr="00275B00">
        <w:rPr>
          <w:b/>
        </w:rPr>
        <w:t>Адрес электронной почты</w:t>
      </w:r>
    </w:p>
    <w:p w:rsidR="00275B00" w:rsidRPr="00275B00" w:rsidRDefault="00334C62" w:rsidP="00275B00">
      <w:hyperlink r:id="rId67" w:history="1">
        <w:r w:rsidR="00275B00" w:rsidRPr="00275B00">
          <w:rPr>
            <w:lang w:val="en-US"/>
          </w:rPr>
          <w:t>office</w:t>
        </w:r>
        <w:r w:rsidR="00275B00" w:rsidRPr="00275B00">
          <w:t>@</w:t>
        </w:r>
        <w:r w:rsidR="00275B00" w:rsidRPr="00275B00">
          <w:rPr>
            <w:lang w:val="en-US"/>
          </w:rPr>
          <w:t>kabene</w:t>
        </w:r>
        <w:r w:rsidR="00275B00" w:rsidRPr="00275B00">
          <w:t>.</w:t>
        </w:r>
        <w:r w:rsidR="00275B00" w:rsidRPr="00275B00">
          <w:rPr>
            <w:lang w:val="en-US"/>
          </w:rPr>
          <w:t>ru</w:t>
        </w:r>
      </w:hyperlink>
    </w:p>
    <w:p w:rsidR="00275B00" w:rsidRPr="00275B00" w:rsidRDefault="00275B00" w:rsidP="00275B00"/>
    <w:p w:rsidR="00275B00" w:rsidRPr="00275B00" w:rsidRDefault="00275B00" w:rsidP="00275B00">
      <w:pPr>
        <w:rPr>
          <w:b/>
        </w:rPr>
      </w:pPr>
      <w:r w:rsidRPr="00275B00">
        <w:rPr>
          <w:b/>
        </w:rPr>
        <w:t>Генеральный директор</w:t>
      </w:r>
    </w:p>
    <w:p w:rsidR="00275B00" w:rsidRPr="00275B00" w:rsidRDefault="00275B00" w:rsidP="00275B00">
      <w:r w:rsidRPr="00275B00">
        <w:t>Аушев Артур Магометович</w:t>
      </w:r>
    </w:p>
    <w:p w:rsidR="00275B00" w:rsidRPr="00275B00" w:rsidRDefault="00275B00" w:rsidP="00275B00">
      <w:r w:rsidRPr="00275B00">
        <w:t>тел.: (8793) 40-16-98, факс: (8793) 40-16-56</w:t>
      </w:r>
    </w:p>
    <w:p w:rsidR="00275B00" w:rsidRPr="00275B00" w:rsidRDefault="00275B00" w:rsidP="00275B00">
      <w:r w:rsidRPr="00275B00">
        <w:t>электронная почта:  mailbox@ukgp-sk.ru.</w:t>
      </w:r>
    </w:p>
    <w:p w:rsidR="00275B00" w:rsidRPr="00275B00" w:rsidRDefault="00275B00" w:rsidP="00275B00"/>
    <w:p w:rsidR="00275B00" w:rsidRPr="00275B00" w:rsidRDefault="00275B00" w:rsidP="00275B00">
      <w:pPr>
        <w:rPr>
          <w:b/>
        </w:rPr>
      </w:pPr>
      <w:r w:rsidRPr="00275B00">
        <w:rPr>
          <w:b/>
        </w:rPr>
        <w:t>Контактные лица для акционеров:</w:t>
      </w:r>
    </w:p>
    <w:p w:rsidR="00275B00" w:rsidRPr="00275B00" w:rsidRDefault="00275B00" w:rsidP="00275B00">
      <w:r w:rsidRPr="00275B00">
        <w:t>Секретарь Совета директоров – Шопин Андрей Александрович</w:t>
      </w:r>
    </w:p>
    <w:p w:rsidR="00275B00" w:rsidRPr="00275B00" w:rsidRDefault="00275B00" w:rsidP="00275B00">
      <w:r w:rsidRPr="00275B00">
        <w:t>Телефон: (8793) 40-16-81, электронная почта: shopin-aa@ukgp-sk.ru</w:t>
      </w:r>
    </w:p>
    <w:p w:rsidR="00275B00" w:rsidRPr="00275B00" w:rsidRDefault="00275B00" w:rsidP="00275B00">
      <w:pPr>
        <w:rPr>
          <w:b/>
        </w:rPr>
      </w:pPr>
    </w:p>
    <w:p w:rsidR="00275B00" w:rsidRPr="00275B00" w:rsidRDefault="00275B00" w:rsidP="00275B00">
      <w:pPr>
        <w:rPr>
          <w:b/>
          <w:lang w:eastAsia="ar-SA"/>
        </w:rPr>
      </w:pPr>
      <w:r w:rsidRPr="00275B00">
        <w:rPr>
          <w:b/>
          <w:lang w:eastAsia="ar-SA"/>
        </w:rPr>
        <w:t>Пресс-центр</w:t>
      </w:r>
    </w:p>
    <w:p w:rsidR="00275B00" w:rsidRPr="00275B00" w:rsidRDefault="00275B00" w:rsidP="00275B00">
      <w:pPr>
        <w:rPr>
          <w:lang w:eastAsia="ar-SA"/>
        </w:rPr>
      </w:pPr>
      <w:r w:rsidRPr="00275B00">
        <w:rPr>
          <w:lang w:eastAsia="ar-SA"/>
        </w:rPr>
        <w:t>Гедгагова Татьяна Викторовна – Пресс-секретарь</w:t>
      </w:r>
    </w:p>
    <w:p w:rsidR="00275B00" w:rsidRPr="00275B00" w:rsidRDefault="00275B00" w:rsidP="00275B00">
      <w:r w:rsidRPr="00275B00">
        <w:t xml:space="preserve">Телефон (8662) 77-12-42, адрес электронной почты: </w:t>
      </w:r>
      <w:hyperlink r:id="rId68" w:history="1">
        <w:r w:rsidRPr="00275B00">
          <w:t>gedgagova@kabene.ru</w:t>
        </w:r>
      </w:hyperlink>
      <w:r w:rsidRPr="00275B00">
        <w:t xml:space="preserve"> </w:t>
      </w:r>
    </w:p>
    <w:p w:rsidR="00275B00" w:rsidRPr="00275B00" w:rsidRDefault="00275B00" w:rsidP="00275B00">
      <w:pPr>
        <w:rPr>
          <w:b/>
        </w:rPr>
      </w:pPr>
    </w:p>
    <w:p w:rsidR="00275B00" w:rsidRPr="00275B00" w:rsidRDefault="00275B00" w:rsidP="00275B00">
      <w:pPr>
        <w:rPr>
          <w:b/>
        </w:rPr>
      </w:pPr>
      <w:r w:rsidRPr="00275B00">
        <w:rPr>
          <w:b/>
        </w:rPr>
        <w:t>Отдел управления персоналом</w:t>
      </w:r>
    </w:p>
    <w:p w:rsidR="00275B00" w:rsidRPr="00275B00" w:rsidRDefault="00275B00" w:rsidP="00275B00">
      <w:r w:rsidRPr="00275B00">
        <w:t>Дзугурова Фатима Мушагидовна</w:t>
      </w:r>
    </w:p>
    <w:p w:rsidR="00275B00" w:rsidRPr="00275B00" w:rsidRDefault="00275B00" w:rsidP="00275B00">
      <w:r w:rsidRPr="00275B00">
        <w:t xml:space="preserve">Телефон (8662) 77-32-25, адрес электронной почты: </w:t>
      </w:r>
      <w:hyperlink r:id="rId69" w:history="1">
        <w:r w:rsidRPr="00275B00">
          <w:t>dzugurova_fatima@kabene.ru</w:t>
        </w:r>
      </w:hyperlink>
      <w:r w:rsidRPr="00275B00">
        <w:t xml:space="preserve">  </w:t>
      </w:r>
    </w:p>
    <w:p w:rsidR="00275B00" w:rsidRPr="00275B00" w:rsidRDefault="00275B00" w:rsidP="00275B00"/>
    <w:p w:rsidR="00275B00" w:rsidRPr="00275B00" w:rsidRDefault="00275B00" w:rsidP="00275B00">
      <w:pPr>
        <w:rPr>
          <w:b/>
        </w:rPr>
      </w:pPr>
    </w:p>
    <w:p w:rsidR="00275B00" w:rsidRPr="00275B00" w:rsidRDefault="00275B00" w:rsidP="00275B00">
      <w:pPr>
        <w:rPr>
          <w:b/>
        </w:rPr>
      </w:pPr>
      <w:r w:rsidRPr="00275B00">
        <w:rPr>
          <w:b/>
        </w:rPr>
        <w:lastRenderedPageBreak/>
        <w:t>«Горячая линия» для клиентов</w:t>
      </w:r>
    </w:p>
    <w:p w:rsidR="00275B00" w:rsidRPr="00275B00" w:rsidRDefault="00275B00" w:rsidP="00275B00"/>
    <w:p w:rsidR="00275B00" w:rsidRPr="00275B00" w:rsidRDefault="00275B00" w:rsidP="00275B00">
      <w:r w:rsidRPr="00275B00">
        <w:t>8-800-775-39-19</w:t>
      </w:r>
    </w:p>
    <w:p w:rsidR="00275B00" w:rsidRPr="00275B00" w:rsidRDefault="00275B00" w:rsidP="00275B00"/>
    <w:p w:rsidR="00275B00" w:rsidRPr="00275B00" w:rsidRDefault="00275B00" w:rsidP="00275B00">
      <w:pPr>
        <w:rPr>
          <w:b/>
        </w:rPr>
      </w:pPr>
      <w:r w:rsidRPr="00275B00">
        <w:rPr>
          <w:b/>
        </w:rPr>
        <w:t>Регистратор</w:t>
      </w:r>
    </w:p>
    <w:p w:rsidR="00275B00" w:rsidRPr="00275B00" w:rsidRDefault="00275B00" w:rsidP="00275B00"/>
    <w:p w:rsidR="00275B00" w:rsidRPr="00275B00" w:rsidRDefault="00275B00" w:rsidP="00275B00">
      <w:r w:rsidRPr="00275B00">
        <w:t>АО «СТАТУС»</w:t>
      </w:r>
    </w:p>
    <w:p w:rsidR="00275B00" w:rsidRPr="00275B00" w:rsidRDefault="00275B00" w:rsidP="00275B00">
      <w:r w:rsidRPr="00275B00">
        <w:t xml:space="preserve">Адрес: </w:t>
      </w:r>
      <w:smartTag w:uri="urn:schemas-microsoft-com:office:smarttags" w:element="metricconverter">
        <w:smartTagPr>
          <w:attr w:name="ProductID" w:val="109544, г"/>
        </w:smartTagPr>
        <w:r w:rsidRPr="00275B00">
          <w:t>109544, г</w:t>
        </w:r>
      </w:smartTag>
      <w:r w:rsidRPr="00275B00">
        <w:t>. Москва, ул. Новорогожская, д. 32, стр. 1</w:t>
      </w:r>
    </w:p>
    <w:p w:rsidR="00275B00" w:rsidRPr="00275B00" w:rsidRDefault="00275B00" w:rsidP="00275B00">
      <w:r w:rsidRPr="00275B00">
        <w:t>Адрес в сети Интернет: http://www.rostatus.ru</w:t>
      </w:r>
    </w:p>
    <w:p w:rsidR="00275B00" w:rsidRPr="00275B00" w:rsidRDefault="00275B00" w:rsidP="00275B00">
      <w:r w:rsidRPr="00275B00">
        <w:t>Адрес электронной почты: office@rostatus.ru</w:t>
      </w:r>
    </w:p>
    <w:p w:rsidR="00275B00" w:rsidRPr="00275B00" w:rsidRDefault="00275B00" w:rsidP="00275B00">
      <w:r w:rsidRPr="00275B00">
        <w:t>Телефоны: для эмитентов (495) 974-83-45, для акционеров (495) 974-83-46, по общим вопросам (495) 974-83-50.</w:t>
      </w:r>
    </w:p>
    <w:p w:rsidR="00275B00" w:rsidRPr="00275B00" w:rsidRDefault="00275B00" w:rsidP="00275B00">
      <w:r w:rsidRPr="00275B00">
        <w:t>Лицензия №10-000-1-00304 от 12.03.2004 (бессрочная) выдана Федеральной комиссией по рынку ценных бумаг Российской Федерации.</w:t>
      </w:r>
    </w:p>
    <w:p w:rsidR="00275B00" w:rsidRPr="00275B00" w:rsidRDefault="00275B00" w:rsidP="00275B00"/>
    <w:p w:rsidR="00275B00" w:rsidRPr="00275B00" w:rsidRDefault="00275B00" w:rsidP="00275B00">
      <w:pPr>
        <w:rPr>
          <w:b/>
        </w:rPr>
      </w:pPr>
      <w:r w:rsidRPr="00275B00">
        <w:rPr>
          <w:b/>
        </w:rPr>
        <w:t>Аудитор</w:t>
      </w:r>
    </w:p>
    <w:p w:rsidR="00275B00" w:rsidRPr="00275B00" w:rsidRDefault="00275B00" w:rsidP="00275B00"/>
    <w:p w:rsidR="00275B00" w:rsidRPr="00275B00" w:rsidRDefault="00275B00" w:rsidP="00275B00">
      <w:r w:rsidRPr="00275B00">
        <w:t>ООО «АДК-аудит»</w:t>
      </w:r>
    </w:p>
    <w:p w:rsidR="00275B00" w:rsidRPr="00275B00" w:rsidRDefault="00275B00" w:rsidP="00275B00">
      <w:r w:rsidRPr="00275B00">
        <w:t>Адрес: Россия, 115114, Москва, улица Дербеневская, дом 11</w:t>
      </w:r>
    </w:p>
    <w:p w:rsidR="00275B00" w:rsidRPr="00275B00" w:rsidRDefault="00275B00" w:rsidP="00275B00">
      <w:r w:rsidRPr="00275B00">
        <w:t>Адрес в сети Интернет : http://www.group-adk.ru</w:t>
      </w:r>
    </w:p>
    <w:p w:rsidR="00275B00" w:rsidRPr="00275B00" w:rsidRDefault="00275B00" w:rsidP="00275B00">
      <w:pPr>
        <w:keepNext/>
        <w:outlineLvl w:val="0"/>
      </w:pPr>
      <w:bookmarkStart w:id="13" w:name="_Toc321485402"/>
      <w:r w:rsidRPr="00275B00">
        <w:t xml:space="preserve">Адрес электронной почты: </w:t>
      </w:r>
      <w:hyperlink r:id="rId70" w:history="1">
        <w:r w:rsidRPr="00275B00">
          <w:rPr>
            <w:color w:val="0000FF"/>
            <w:u w:val="single"/>
          </w:rPr>
          <w:t>schetinin@group-adk.ru</w:t>
        </w:r>
      </w:hyperlink>
    </w:p>
    <w:p w:rsidR="00275B00" w:rsidRPr="00275B00" w:rsidRDefault="00275B00" w:rsidP="00275B00">
      <w:pPr>
        <w:keepNext/>
        <w:outlineLvl w:val="0"/>
      </w:pPr>
      <w:r w:rsidRPr="00275B00">
        <w:t>тел.: +7 (495) 234-70-33, 960-47-73, 727-31-03</w:t>
      </w:r>
    </w:p>
    <w:p w:rsidR="00275B00" w:rsidRPr="00275B00" w:rsidRDefault="00275B00" w:rsidP="00275B00">
      <w:pPr>
        <w:keepNext/>
        <w:outlineLvl w:val="0"/>
      </w:pPr>
      <w:r w:rsidRPr="00275B00">
        <w:t>факс: +7 (495) 234-70-33.</w:t>
      </w:r>
    </w:p>
    <w:p w:rsidR="00275B00" w:rsidRPr="00275B00" w:rsidRDefault="00275B00" w:rsidP="00275B00"/>
    <w:p w:rsidR="00275B00" w:rsidRPr="00275B00" w:rsidRDefault="00275B00" w:rsidP="00275B00">
      <w:pPr>
        <w:keepNext/>
        <w:spacing w:line="360" w:lineRule="auto"/>
        <w:jc w:val="center"/>
        <w:outlineLvl w:val="0"/>
        <w:rPr>
          <w:b/>
          <w:szCs w:val="20"/>
        </w:rPr>
      </w:pPr>
    </w:p>
    <w:p w:rsidR="00275B00" w:rsidRPr="00275B00" w:rsidRDefault="00275B00" w:rsidP="00275B00">
      <w:pPr>
        <w:keepNext/>
        <w:spacing w:line="360" w:lineRule="auto"/>
        <w:jc w:val="center"/>
        <w:outlineLvl w:val="0"/>
        <w:rPr>
          <w:b/>
          <w:szCs w:val="20"/>
        </w:rPr>
      </w:pPr>
    </w:p>
    <w:p w:rsidR="00275B00" w:rsidRPr="00275B00" w:rsidRDefault="00275B00" w:rsidP="00275B00">
      <w:pPr>
        <w:keepNext/>
        <w:spacing w:line="360" w:lineRule="auto"/>
        <w:jc w:val="center"/>
        <w:outlineLvl w:val="0"/>
        <w:rPr>
          <w:b/>
          <w:szCs w:val="20"/>
        </w:rPr>
      </w:pPr>
    </w:p>
    <w:p w:rsidR="00275B00" w:rsidRPr="00275B00" w:rsidRDefault="00275B00" w:rsidP="00275B00">
      <w:pPr>
        <w:keepNext/>
        <w:spacing w:line="360" w:lineRule="auto"/>
        <w:jc w:val="center"/>
        <w:outlineLvl w:val="0"/>
        <w:rPr>
          <w:b/>
          <w:szCs w:val="20"/>
        </w:rPr>
      </w:pPr>
    </w:p>
    <w:p w:rsidR="00275B00" w:rsidRPr="00275B00" w:rsidRDefault="00275B00" w:rsidP="00275B00">
      <w:pPr>
        <w:keepNext/>
        <w:spacing w:line="360" w:lineRule="auto"/>
        <w:jc w:val="center"/>
        <w:outlineLvl w:val="0"/>
        <w:rPr>
          <w:b/>
          <w:szCs w:val="20"/>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Pr="00275B00" w:rsidRDefault="00275B00" w:rsidP="00275B00">
      <w:pPr>
        <w:jc w:val="center"/>
        <w:rPr>
          <w:b/>
        </w:rPr>
      </w:pPr>
    </w:p>
    <w:p w:rsidR="00275B00" w:rsidRDefault="00275B00" w:rsidP="00275B00">
      <w:pPr>
        <w:jc w:val="center"/>
        <w:rPr>
          <w:b/>
        </w:rPr>
      </w:pPr>
    </w:p>
    <w:p w:rsidR="005A262C" w:rsidRPr="00275B00" w:rsidRDefault="005A262C" w:rsidP="00275B00">
      <w:pPr>
        <w:jc w:val="center"/>
        <w:rPr>
          <w:b/>
        </w:rPr>
      </w:pPr>
    </w:p>
    <w:p w:rsidR="00275B00" w:rsidRPr="00275B00" w:rsidRDefault="00275B00" w:rsidP="00275B00">
      <w:pPr>
        <w:jc w:val="center"/>
        <w:rPr>
          <w:b/>
          <w:sz w:val="28"/>
        </w:rPr>
      </w:pPr>
      <w:r w:rsidRPr="00275B00">
        <w:rPr>
          <w:b/>
          <w:sz w:val="28"/>
        </w:rPr>
        <w:lastRenderedPageBreak/>
        <w:t>Глоссарий</w:t>
      </w:r>
      <w:bookmarkEnd w:id="13"/>
    </w:p>
    <w:p w:rsidR="00275B00" w:rsidRPr="00275B00" w:rsidRDefault="00275B00" w:rsidP="00275B00"/>
    <w:p w:rsidR="00275B00" w:rsidRPr="00275B00" w:rsidRDefault="00275B00" w:rsidP="00275B00">
      <w:pPr>
        <w:autoSpaceDE w:val="0"/>
        <w:autoSpaceDN w:val="0"/>
        <w:adjustRightInd w:val="0"/>
        <w:spacing w:before="14" w:line="259" w:lineRule="exact"/>
        <w:ind w:firstLine="708"/>
        <w:jc w:val="both"/>
      </w:pPr>
      <w:r w:rsidRPr="00275B00">
        <w:t>Для целей настоящего Годового отчета используются следующие понятия, определения и сокращения.</w:t>
      </w:r>
    </w:p>
    <w:p w:rsidR="00275B00" w:rsidRPr="00275B00" w:rsidRDefault="00275B00" w:rsidP="00275B00">
      <w:pPr>
        <w:autoSpaceDE w:val="0"/>
        <w:autoSpaceDN w:val="0"/>
        <w:adjustRightInd w:val="0"/>
        <w:spacing w:line="240" w:lineRule="exact"/>
        <w:rPr>
          <w:rFonts w:ascii="Arial Narrow" w:hAnsi="Arial Narrow"/>
        </w:rPr>
      </w:pPr>
    </w:p>
    <w:p w:rsidR="00275B00" w:rsidRPr="00275B00" w:rsidRDefault="00275B00" w:rsidP="00275B00">
      <w:pPr>
        <w:autoSpaceDE w:val="0"/>
        <w:autoSpaceDN w:val="0"/>
        <w:adjustRightInd w:val="0"/>
        <w:spacing w:before="48"/>
        <w:rPr>
          <w:b/>
          <w:bCs/>
        </w:rPr>
      </w:pPr>
      <w:r w:rsidRPr="00275B00">
        <w:rPr>
          <w:b/>
          <w:bCs/>
        </w:rPr>
        <w:t>АББРЕВИАТУРЫ И СОКРАЩЕНИЯ</w:t>
      </w:r>
    </w:p>
    <w:p w:rsidR="00275B00" w:rsidRPr="00275B00" w:rsidRDefault="00275B00" w:rsidP="00121F7E">
      <w:pPr>
        <w:autoSpaceDE w:val="0"/>
        <w:autoSpaceDN w:val="0"/>
        <w:adjustRightInd w:val="0"/>
        <w:rPr>
          <w:b/>
          <w:bCs/>
        </w:rPr>
      </w:pPr>
    </w:p>
    <w:tbl>
      <w:tblPr>
        <w:tblW w:w="9712" w:type="dxa"/>
        <w:shd w:val="clear" w:color="auto" w:fill="FFFFFF"/>
        <w:tblLook w:val="04A0" w:firstRow="1" w:lastRow="0" w:firstColumn="1" w:lastColumn="0" w:noHBand="0" w:noVBand="1"/>
      </w:tblPr>
      <w:tblGrid>
        <w:gridCol w:w="2268"/>
        <w:gridCol w:w="7444"/>
      </w:tblGrid>
      <w:tr w:rsidR="00275B00" w:rsidRPr="00247FEF" w:rsidTr="003028AA">
        <w:trPr>
          <w:trHeight w:val="144"/>
        </w:trPr>
        <w:tc>
          <w:tcPr>
            <w:tcW w:w="2268" w:type="dxa"/>
            <w:shd w:val="clear" w:color="auto" w:fill="FFFFFF"/>
          </w:tcPr>
          <w:p w:rsidR="00275B00" w:rsidRPr="00275B00" w:rsidRDefault="00275B00" w:rsidP="00E25913">
            <w:pPr>
              <w:rPr>
                <w:rFonts w:eastAsia="Calibri"/>
                <w:lang w:val="en-US" w:eastAsia="en-US"/>
              </w:rPr>
            </w:pPr>
            <w:r w:rsidRPr="00275B00">
              <w:rPr>
                <w:rFonts w:eastAsia="Calibri"/>
                <w:lang w:eastAsia="en-US"/>
              </w:rPr>
              <w:t>ЕВ</w:t>
            </w:r>
            <w:r w:rsidRPr="00275B00">
              <w:rPr>
                <w:rFonts w:eastAsia="Calibri"/>
                <w:lang w:val="en-US" w:eastAsia="en-US"/>
              </w:rPr>
              <w:t>I</w:t>
            </w:r>
            <w:r w:rsidRPr="00275B00">
              <w:rPr>
                <w:rFonts w:eastAsia="Calibri"/>
                <w:lang w:eastAsia="en-US"/>
              </w:rPr>
              <w:t>Т</w:t>
            </w:r>
            <w:r w:rsidRPr="00275B00">
              <w:rPr>
                <w:rFonts w:eastAsia="Calibri"/>
                <w:lang w:val="en-US" w:eastAsia="en-US"/>
              </w:rPr>
              <w:t>D</w:t>
            </w:r>
            <w:r w:rsidRPr="00275B00">
              <w:rPr>
                <w:rFonts w:eastAsia="Calibri"/>
                <w:lang w:eastAsia="en-US"/>
              </w:rPr>
              <w:t>А</w:t>
            </w:r>
          </w:p>
          <w:p w:rsidR="00275B00" w:rsidRPr="00275B00" w:rsidRDefault="00275B00" w:rsidP="00E25913">
            <w:pPr>
              <w:rPr>
                <w:rFonts w:eastAsia="Calibri"/>
                <w:lang w:val="en-US" w:eastAsia="en-US"/>
              </w:rPr>
            </w:pPr>
          </w:p>
        </w:tc>
        <w:tc>
          <w:tcPr>
            <w:tcW w:w="7444" w:type="dxa"/>
            <w:shd w:val="clear" w:color="auto" w:fill="FFFFFF"/>
          </w:tcPr>
          <w:p w:rsidR="00275B00" w:rsidRPr="00275B00" w:rsidRDefault="00275B00" w:rsidP="00E25913">
            <w:pPr>
              <w:jc w:val="both"/>
              <w:rPr>
                <w:rFonts w:eastAsia="Calibri"/>
                <w:lang w:val="en-US" w:eastAsia="en-US"/>
              </w:rPr>
            </w:pPr>
            <w:r w:rsidRPr="00275B00">
              <w:rPr>
                <w:rFonts w:eastAsia="Calibri"/>
                <w:lang w:val="en-US" w:eastAsia="en-US"/>
              </w:rPr>
              <w:t>Earnings before Interest, Taxes, Depreciation and Amortization (</w:t>
            </w:r>
            <w:r w:rsidRPr="00275B00">
              <w:rPr>
                <w:rFonts w:eastAsia="Calibri"/>
                <w:lang w:eastAsia="en-US"/>
              </w:rPr>
              <w:t>прибыль</w:t>
            </w:r>
            <w:r w:rsidRPr="00275B00">
              <w:rPr>
                <w:rFonts w:eastAsia="Calibri"/>
                <w:lang w:val="en-US" w:eastAsia="en-US"/>
              </w:rPr>
              <w:t xml:space="preserve"> </w:t>
            </w:r>
            <w:r w:rsidRPr="00275B00">
              <w:rPr>
                <w:rFonts w:eastAsia="Calibri"/>
                <w:lang w:eastAsia="en-US"/>
              </w:rPr>
              <w:t>до</w:t>
            </w:r>
            <w:r w:rsidRPr="00275B00">
              <w:rPr>
                <w:rFonts w:eastAsia="Calibri"/>
                <w:lang w:val="en-US" w:eastAsia="en-US"/>
              </w:rPr>
              <w:t xml:space="preserve"> </w:t>
            </w:r>
            <w:r w:rsidRPr="00275B00">
              <w:rPr>
                <w:rFonts w:eastAsia="Calibri"/>
                <w:lang w:eastAsia="en-US"/>
              </w:rPr>
              <w:t>вычета</w:t>
            </w:r>
            <w:r w:rsidRPr="00275B00">
              <w:rPr>
                <w:rFonts w:eastAsia="Calibri"/>
                <w:lang w:val="en-US" w:eastAsia="en-US"/>
              </w:rPr>
              <w:t xml:space="preserve"> </w:t>
            </w:r>
            <w:r w:rsidRPr="00275B00">
              <w:rPr>
                <w:rFonts w:eastAsia="Calibri"/>
                <w:lang w:eastAsia="en-US"/>
              </w:rPr>
              <w:t>расходов</w:t>
            </w:r>
            <w:r w:rsidRPr="00275B00">
              <w:rPr>
                <w:rFonts w:eastAsia="Calibri"/>
                <w:lang w:val="en-US" w:eastAsia="en-US"/>
              </w:rPr>
              <w:t xml:space="preserve"> </w:t>
            </w:r>
            <w:r w:rsidRPr="00275B00">
              <w:rPr>
                <w:rFonts w:eastAsia="Calibri"/>
                <w:lang w:eastAsia="en-US"/>
              </w:rPr>
              <w:t>по</w:t>
            </w:r>
            <w:r w:rsidRPr="00275B00">
              <w:rPr>
                <w:rFonts w:eastAsia="Calibri"/>
                <w:lang w:val="en-US" w:eastAsia="en-US"/>
              </w:rPr>
              <w:t xml:space="preserve"> </w:t>
            </w:r>
            <w:r w:rsidRPr="00275B00">
              <w:rPr>
                <w:rFonts w:eastAsia="Calibri"/>
                <w:lang w:eastAsia="en-US"/>
              </w:rPr>
              <w:t>процентам</w:t>
            </w:r>
            <w:r w:rsidRPr="00275B00">
              <w:rPr>
                <w:rFonts w:eastAsia="Calibri"/>
                <w:lang w:val="en-US" w:eastAsia="en-US"/>
              </w:rPr>
              <w:t xml:space="preserve">, </w:t>
            </w:r>
            <w:r w:rsidRPr="00275B00">
              <w:rPr>
                <w:rFonts w:eastAsia="Calibri"/>
                <w:lang w:eastAsia="en-US"/>
              </w:rPr>
              <w:t>уплаты</w:t>
            </w:r>
            <w:r w:rsidRPr="00275B00">
              <w:rPr>
                <w:rFonts w:eastAsia="Calibri"/>
                <w:lang w:val="en-US" w:eastAsia="en-US"/>
              </w:rPr>
              <w:t xml:space="preserve"> </w:t>
            </w:r>
            <w:r w:rsidRPr="00275B00">
              <w:rPr>
                <w:rFonts w:eastAsia="Calibri"/>
                <w:lang w:eastAsia="en-US"/>
              </w:rPr>
              <w:t>налогов</w:t>
            </w:r>
            <w:r w:rsidRPr="00275B00">
              <w:rPr>
                <w:rFonts w:eastAsia="Calibri"/>
                <w:lang w:val="en-US" w:eastAsia="en-US"/>
              </w:rPr>
              <w:t xml:space="preserve"> </w:t>
            </w:r>
            <w:r w:rsidRPr="00275B00">
              <w:rPr>
                <w:rFonts w:eastAsia="Calibri"/>
                <w:lang w:eastAsia="en-US"/>
              </w:rPr>
              <w:t>и</w:t>
            </w:r>
            <w:r w:rsidRPr="00275B00">
              <w:rPr>
                <w:rFonts w:eastAsia="Calibri"/>
                <w:lang w:val="en-US" w:eastAsia="en-US"/>
              </w:rPr>
              <w:t xml:space="preserve"> </w:t>
            </w:r>
            <w:r w:rsidRPr="00275B00">
              <w:rPr>
                <w:rFonts w:eastAsia="Calibri"/>
                <w:lang w:eastAsia="en-US"/>
              </w:rPr>
              <w:t>амортизационных</w:t>
            </w:r>
            <w:r w:rsidRPr="00275B00">
              <w:rPr>
                <w:rFonts w:eastAsia="Calibri"/>
                <w:lang w:val="en-US" w:eastAsia="en-US"/>
              </w:rPr>
              <w:t xml:space="preserve"> </w:t>
            </w:r>
            <w:r w:rsidRPr="00275B00">
              <w:rPr>
                <w:rFonts w:eastAsia="Calibri"/>
                <w:lang w:eastAsia="en-US"/>
              </w:rPr>
              <w:t>отчислений</w:t>
            </w:r>
            <w:r w:rsidRPr="00275B00">
              <w:rPr>
                <w:rFonts w:eastAsia="Calibri"/>
                <w:lang w:val="en-US" w:eastAsia="en-US"/>
              </w:rPr>
              <w:t>)</w:t>
            </w:r>
          </w:p>
        </w:tc>
      </w:tr>
      <w:tr w:rsidR="00275B00" w:rsidRPr="00275B00" w:rsidTr="003028AA">
        <w:trPr>
          <w:trHeight w:val="144"/>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Ethernet</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Пакетная технология передачи данных преимущественно локальных компьютерных сетей</w:t>
            </w:r>
          </w:p>
        </w:tc>
      </w:tr>
      <w:tr w:rsidR="00275B00" w:rsidRPr="00275B00" w:rsidTr="003028AA">
        <w:trPr>
          <w:trHeight w:val="492"/>
        </w:trPr>
        <w:tc>
          <w:tcPr>
            <w:tcW w:w="2268" w:type="dxa"/>
            <w:shd w:val="clear" w:color="auto" w:fill="FFFFFF"/>
          </w:tcPr>
          <w:p w:rsidR="00275B00" w:rsidRPr="00275B00" w:rsidRDefault="00275B00" w:rsidP="00E25913">
            <w:pPr>
              <w:rPr>
                <w:rFonts w:eastAsia="Calibri"/>
                <w:lang w:val="en-US" w:eastAsia="en-US"/>
              </w:rPr>
            </w:pPr>
            <w:r w:rsidRPr="00275B00">
              <w:rPr>
                <w:rFonts w:eastAsia="Calibri"/>
                <w:lang w:val="en-US" w:eastAsia="en-US"/>
              </w:rPr>
              <w:t>FTP</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val="en-US" w:eastAsia="en-US"/>
              </w:rPr>
              <w:t>File</w:t>
            </w:r>
            <w:r w:rsidRPr="00275B00">
              <w:rPr>
                <w:rFonts w:eastAsia="Calibri"/>
                <w:lang w:eastAsia="en-US"/>
              </w:rPr>
              <w:t xml:space="preserve"> </w:t>
            </w:r>
            <w:r w:rsidRPr="00275B00">
              <w:rPr>
                <w:rFonts w:eastAsia="Calibri"/>
                <w:lang w:val="en-US" w:eastAsia="en-US"/>
              </w:rPr>
              <w:t>Transfer</w:t>
            </w:r>
            <w:r w:rsidRPr="00275B00">
              <w:rPr>
                <w:rFonts w:eastAsia="Calibri"/>
                <w:lang w:eastAsia="en-US"/>
              </w:rPr>
              <w:t xml:space="preserve"> </w:t>
            </w:r>
            <w:r w:rsidRPr="00275B00">
              <w:rPr>
                <w:rFonts w:eastAsia="Calibri"/>
                <w:lang w:val="en-US" w:eastAsia="en-US"/>
              </w:rPr>
              <w:t>Protocol</w:t>
            </w:r>
            <w:r w:rsidRPr="00275B00">
              <w:rPr>
                <w:rFonts w:eastAsia="Calibri"/>
                <w:lang w:eastAsia="en-US"/>
              </w:rPr>
              <w:t xml:space="preserve"> — протокол передачи файлов (протокол, предназначенный для передачи файлов в компьютерных сетях)</w:t>
            </w:r>
          </w:p>
        </w:tc>
      </w:tr>
      <w:tr w:rsidR="00275B00" w:rsidRPr="00275B00" w:rsidTr="003028AA">
        <w:trPr>
          <w:trHeight w:val="364"/>
        </w:trPr>
        <w:tc>
          <w:tcPr>
            <w:tcW w:w="2268" w:type="dxa"/>
            <w:shd w:val="clear" w:color="auto" w:fill="FFFFFF"/>
          </w:tcPr>
          <w:p w:rsidR="00275B00" w:rsidRPr="00275B00" w:rsidRDefault="00275B00" w:rsidP="00E25913">
            <w:pPr>
              <w:rPr>
                <w:rFonts w:eastAsia="Calibri"/>
                <w:lang w:val="en-US" w:eastAsia="en-US"/>
              </w:rPr>
            </w:pPr>
            <w:r w:rsidRPr="00275B00">
              <w:rPr>
                <w:rFonts w:eastAsia="Calibri"/>
                <w:lang w:val="en-US" w:eastAsia="en-US"/>
              </w:rPr>
              <w:t>IT</w:t>
            </w:r>
          </w:p>
        </w:tc>
        <w:tc>
          <w:tcPr>
            <w:tcW w:w="7444" w:type="dxa"/>
            <w:shd w:val="clear" w:color="auto" w:fill="FFFFFF"/>
          </w:tcPr>
          <w:p w:rsidR="00275B00" w:rsidRPr="00275B00" w:rsidRDefault="00275B00" w:rsidP="00E25913">
            <w:pPr>
              <w:jc w:val="both"/>
              <w:rPr>
                <w:rFonts w:eastAsia="Calibri"/>
                <w:lang w:val="en-US" w:eastAsia="en-US"/>
              </w:rPr>
            </w:pPr>
            <w:r w:rsidRPr="00275B00">
              <w:rPr>
                <w:rFonts w:eastAsia="Calibri"/>
                <w:lang w:val="en-US" w:eastAsia="en-US"/>
              </w:rPr>
              <w:t>Information Technologies (информационные технологии)</w:t>
            </w:r>
          </w:p>
        </w:tc>
      </w:tr>
      <w:tr w:rsidR="00275B00" w:rsidRPr="00275B00" w:rsidTr="003028AA">
        <w:trPr>
          <w:trHeight w:val="42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PR-мероприятие</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Мероприятия, проводимые со средствами массовой информации</w:t>
            </w:r>
          </w:p>
        </w:tc>
      </w:tr>
      <w:tr w:rsidR="00275B00" w:rsidRPr="00275B00" w:rsidTr="003028AA">
        <w:trPr>
          <w:trHeight w:val="340"/>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PR-кампания</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Комплекс мероприятий, нацеленных на улучшение имиджа (образа, репутации) Общества, связей с общественностью и поддержание гармоничных отношений с общественностью</w:t>
            </w:r>
          </w:p>
        </w:tc>
      </w:tr>
      <w:tr w:rsidR="00275B00" w:rsidRPr="00275B00" w:rsidTr="003028AA">
        <w:trPr>
          <w:trHeight w:val="887"/>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VPN</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Virtual Private Network - виртуальная частная сеть</w:t>
            </w:r>
            <w:r w:rsidRPr="00275B00">
              <w:rPr>
                <w:rFonts w:ascii="Calibri" w:eastAsia="Calibri" w:hAnsi="Calibri"/>
                <w:lang w:eastAsia="en-US"/>
              </w:rPr>
              <w:t xml:space="preserve"> (</w:t>
            </w:r>
            <w:r w:rsidRPr="00275B00">
              <w:rPr>
                <w:rFonts w:eastAsia="Calibri"/>
                <w:lang w:eastAsia="en-US"/>
              </w:rPr>
              <w:t>технология, позволяющая обеспечить одно или несколько сетевых соединений поверх другой сети)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АСКУЭ</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Автоматизированная система коммерческого учета электроэнергии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АЭС</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Атомная электростанция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БР</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Балансирующий рынок</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ГЭС</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Гидроэлектростанция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ГКПЗ</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Годовая комплексная программа закупок</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ГОСА</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Годовое общее собрание акционеров</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ГП</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Гарантирующий поставщик</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ДЗО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Дочернее зависимое общество</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ДПМ</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Договор поставки мощности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 xml:space="preserve">ЕЭС </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Е</w:t>
            </w:r>
            <w:r w:rsidRPr="00275B00">
              <w:rPr>
                <w:rFonts w:eastAsia="Calibri"/>
                <w:lang w:val="en-US" w:eastAsia="en-US"/>
              </w:rPr>
              <w:t>диная энергетическая система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ЕНЭС</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Единая национальная электрическая сеть</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ЖКХ</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Жилищно-коммунальное хозяйство</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ЗАО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Закрытое акционерное общество</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И.О.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Исполняющий обязанности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ИТ</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Информационные технологии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ИПР</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Инвестиционная программа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КОМ</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Конкурентный отбор мощности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КПО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Контрольный показатель оплаты</w:t>
            </w:r>
          </w:p>
        </w:tc>
      </w:tr>
      <w:tr w:rsidR="00275B00" w:rsidRPr="00275B00" w:rsidTr="00E25913">
        <w:trPr>
          <w:trHeight w:val="284"/>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КПЭ</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Ключевой показатель эффективности</w:t>
            </w:r>
          </w:p>
        </w:tc>
      </w:tr>
      <w:tr w:rsidR="00275B00" w:rsidRPr="00275B00" w:rsidTr="00E25913">
        <w:trPr>
          <w:trHeight w:val="273"/>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ЛВС</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Локальная вычислительная сеть</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 xml:space="preserve">МРСК </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Межрегиональная распределительная сетевая компания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МУП</w:t>
            </w:r>
          </w:p>
        </w:tc>
        <w:tc>
          <w:tcPr>
            <w:tcW w:w="7444" w:type="dxa"/>
            <w:shd w:val="clear" w:color="auto" w:fill="FFFFFF"/>
          </w:tcPr>
          <w:p w:rsidR="00275B00" w:rsidRPr="00275B00" w:rsidRDefault="00275B00" w:rsidP="00E25913">
            <w:pPr>
              <w:jc w:val="both"/>
              <w:rPr>
                <w:rFonts w:eastAsia="Calibri"/>
                <w:lang w:val="en-US" w:eastAsia="en-US"/>
              </w:rPr>
            </w:pPr>
            <w:r w:rsidRPr="00275B00">
              <w:rPr>
                <w:rFonts w:eastAsia="Calibri"/>
                <w:lang w:eastAsia="en-US"/>
              </w:rPr>
              <w:t>М</w:t>
            </w:r>
            <w:r w:rsidRPr="00275B00">
              <w:rPr>
                <w:rFonts w:eastAsia="Calibri"/>
                <w:lang w:val="en-US" w:eastAsia="en-US"/>
              </w:rPr>
              <w:t>униципальное унитарное предприятие</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lastRenderedPageBreak/>
              <w:t>НВВ</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Необходимая валовая выручка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НДС</w:t>
            </w:r>
          </w:p>
        </w:tc>
        <w:tc>
          <w:tcPr>
            <w:tcW w:w="7444" w:type="dxa"/>
            <w:shd w:val="clear" w:color="auto" w:fill="FFFFFF"/>
          </w:tcPr>
          <w:p w:rsidR="00275B00" w:rsidRPr="00275B00" w:rsidRDefault="00275B00" w:rsidP="00E25913">
            <w:pPr>
              <w:jc w:val="both"/>
              <w:rPr>
                <w:rFonts w:eastAsia="Calibri"/>
                <w:lang w:val="en-US" w:eastAsia="en-US"/>
              </w:rPr>
            </w:pPr>
            <w:r w:rsidRPr="00275B00">
              <w:rPr>
                <w:rFonts w:eastAsia="Calibri"/>
                <w:lang w:eastAsia="en-US"/>
              </w:rPr>
              <w:t>Н</w:t>
            </w:r>
            <w:r w:rsidRPr="00275B00">
              <w:rPr>
                <w:rFonts w:eastAsia="Calibri"/>
                <w:lang w:val="en-US" w:eastAsia="en-US"/>
              </w:rPr>
              <w:t>алог на добавленную стоимость</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НМА</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Нематериальные активы</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НП</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Некоммерческое партнерство</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НПО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Негосударственное пенсионное обеспечение</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НПФ</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Негосударственный пенсионный фонд</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ОАО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Открытое акционерное общество</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ООО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Общество с ограниченной ответственностью</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ОПП</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Оптовый перепродавец</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ОРЭМ</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Оптовый рынок электроэнергии и мощности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ОЭС</w:t>
            </w:r>
          </w:p>
        </w:tc>
        <w:tc>
          <w:tcPr>
            <w:tcW w:w="7444" w:type="dxa"/>
            <w:shd w:val="clear" w:color="auto" w:fill="FFFFFF"/>
          </w:tcPr>
          <w:p w:rsidR="00275B00" w:rsidRPr="00275B00" w:rsidRDefault="00275B00" w:rsidP="00E25913">
            <w:pPr>
              <w:jc w:val="both"/>
              <w:rPr>
                <w:rFonts w:eastAsia="Calibri"/>
                <w:lang w:val="en-US" w:eastAsia="en-US"/>
              </w:rPr>
            </w:pPr>
            <w:r w:rsidRPr="00275B00">
              <w:rPr>
                <w:rFonts w:eastAsia="Calibri"/>
                <w:lang w:val="en-US" w:eastAsia="en-US"/>
              </w:rPr>
              <w:t>Объединенная энергетическая система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ОС</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Основные средства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ОФ</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Основные фонды</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РД</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Регулируемый договор</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РСВ</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Рынок на сутки вперед</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РСК</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Региональная сетевая компания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РРЭМ</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Розничный рынок электроэнергии и мощности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РСБУ</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Российские стандарты бухгалтерского учёта</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СМИ</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Средства массовой информации</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СКФО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Северо-кавказский федеральный округ</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СУБД</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Система управления базами данных</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ТСО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Территориальная сетевая организация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ТПиР</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Технологическое перевооружение и реконструкция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ТЭР</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Топливно-энергетические ресурсы</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УК</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Управляющая компания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ФСК</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Федеральная сетевая компания</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ФСТ</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Федеральная служба по тарифам</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ЦОК</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Центр обслуживания клиентов</w:t>
            </w:r>
          </w:p>
        </w:tc>
      </w:tr>
      <w:tr w:rsidR="00275B00" w:rsidRPr="00275B00" w:rsidTr="003028AA">
        <w:trPr>
          <w:trHeight w:val="369"/>
        </w:trPr>
        <w:tc>
          <w:tcPr>
            <w:tcW w:w="2268" w:type="dxa"/>
            <w:shd w:val="clear" w:color="auto" w:fill="FFFFFF"/>
          </w:tcPr>
          <w:p w:rsidR="00275B00" w:rsidRPr="00275B00" w:rsidRDefault="00275B00" w:rsidP="00E25913">
            <w:pPr>
              <w:rPr>
                <w:rFonts w:eastAsia="Calibri"/>
                <w:lang w:eastAsia="en-US"/>
              </w:rPr>
            </w:pPr>
            <w:r w:rsidRPr="00275B00">
              <w:rPr>
                <w:rFonts w:eastAsia="Calibri"/>
                <w:lang w:eastAsia="en-US"/>
              </w:rPr>
              <w:t>ЭО</w:t>
            </w:r>
          </w:p>
        </w:tc>
        <w:tc>
          <w:tcPr>
            <w:tcW w:w="7444" w:type="dxa"/>
            <w:shd w:val="clear" w:color="auto" w:fill="FFFFFF"/>
          </w:tcPr>
          <w:p w:rsidR="00275B00" w:rsidRPr="00275B00" w:rsidRDefault="00275B00" w:rsidP="00E25913">
            <w:pPr>
              <w:jc w:val="both"/>
              <w:rPr>
                <w:rFonts w:eastAsia="Calibri"/>
                <w:lang w:eastAsia="en-US"/>
              </w:rPr>
            </w:pPr>
            <w:r w:rsidRPr="00275B00">
              <w:rPr>
                <w:rFonts w:eastAsia="Calibri"/>
                <w:lang w:eastAsia="en-US"/>
              </w:rPr>
              <w:t>Энергосбытовое отделение</w:t>
            </w:r>
          </w:p>
        </w:tc>
      </w:tr>
      <w:tr w:rsidR="00275B00" w:rsidRPr="00275B00" w:rsidTr="003028AA">
        <w:trPr>
          <w:trHeight w:val="641"/>
        </w:trPr>
        <w:tc>
          <w:tcPr>
            <w:tcW w:w="9712" w:type="dxa"/>
            <w:gridSpan w:val="2"/>
            <w:shd w:val="clear" w:color="auto" w:fill="FFFFFF"/>
          </w:tcPr>
          <w:p w:rsidR="00275B00" w:rsidRPr="002E05E3" w:rsidRDefault="00275B00" w:rsidP="00121F7E">
            <w:pPr>
              <w:jc w:val="both"/>
              <w:rPr>
                <w:rFonts w:eastAsia="Calibri"/>
                <w:bCs/>
                <w:sz w:val="16"/>
                <w:szCs w:val="16"/>
                <w:lang w:eastAsia="en-US"/>
              </w:rPr>
            </w:pPr>
          </w:p>
          <w:p w:rsidR="00275B00" w:rsidRPr="00275B00" w:rsidRDefault="00275B00" w:rsidP="00121F7E">
            <w:pPr>
              <w:jc w:val="both"/>
              <w:rPr>
                <w:rFonts w:eastAsia="Calibri"/>
                <w:b/>
                <w:bCs/>
                <w:lang w:eastAsia="en-US"/>
              </w:rPr>
            </w:pPr>
            <w:r w:rsidRPr="00275B00">
              <w:rPr>
                <w:rFonts w:eastAsia="Calibri"/>
                <w:b/>
                <w:bCs/>
                <w:lang w:eastAsia="en-US"/>
              </w:rPr>
              <w:t>ЕДЕНИЦЫ ИЗМЕРЕНИЯ</w:t>
            </w:r>
          </w:p>
          <w:p w:rsidR="00275B00" w:rsidRPr="002E05E3" w:rsidRDefault="00275B00" w:rsidP="00121F7E">
            <w:pPr>
              <w:jc w:val="both"/>
              <w:rPr>
                <w:rFonts w:eastAsia="Calibri"/>
                <w:sz w:val="16"/>
                <w:szCs w:val="16"/>
                <w:lang w:eastAsia="en-US"/>
              </w:rPr>
            </w:pPr>
          </w:p>
        </w:tc>
      </w:tr>
      <w:tr w:rsidR="00275B00" w:rsidRPr="00275B00" w:rsidTr="003028AA">
        <w:trPr>
          <w:trHeight w:val="547"/>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ВА</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Единица полной мощности переменного тока (определяется как произведение действующих значений тока в цепи и напряжения)</w:t>
            </w:r>
          </w:p>
        </w:tc>
      </w:tr>
      <w:tr w:rsidR="00275B00" w:rsidRPr="00275B00" w:rsidTr="003028AA">
        <w:trPr>
          <w:trHeight w:val="439"/>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 xml:space="preserve">Вт </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Единица измерения мощности (Ватт-</w:t>
            </w:r>
            <w:r w:rsidRPr="00275B00">
              <w:rPr>
                <w:rFonts w:eastAsia="Calibri"/>
                <w:lang w:val="en-US" w:eastAsia="en-US"/>
              </w:rPr>
              <w:t>W</w:t>
            </w:r>
            <w:r w:rsidRPr="00275B00">
              <w:rPr>
                <w:rFonts w:eastAsia="Calibri"/>
                <w:lang w:eastAsia="en-US"/>
              </w:rPr>
              <w:t>)</w:t>
            </w:r>
          </w:p>
        </w:tc>
      </w:tr>
      <w:tr w:rsidR="00275B00" w:rsidRPr="00275B00" w:rsidTr="003028AA">
        <w:trPr>
          <w:trHeight w:val="439"/>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 xml:space="preserve">В </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Единица измерения электрического напряжения (Вольт-</w:t>
            </w:r>
            <w:r w:rsidRPr="00275B00">
              <w:rPr>
                <w:rFonts w:eastAsia="Calibri"/>
                <w:lang w:val="en-US" w:eastAsia="en-US"/>
              </w:rPr>
              <w:t>V</w:t>
            </w:r>
            <w:r w:rsidRPr="00275B00">
              <w:rPr>
                <w:rFonts w:eastAsia="Calibri"/>
                <w:lang w:eastAsia="en-US"/>
              </w:rPr>
              <w:t>)</w:t>
            </w:r>
          </w:p>
        </w:tc>
      </w:tr>
      <w:tr w:rsidR="00275B00" w:rsidRPr="00275B00" w:rsidTr="003028AA">
        <w:trPr>
          <w:trHeight w:val="547"/>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Ватт-час</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Единица работы и энергии, равная работе, совершаемой за 1 час при мощности в 1 ватт</w:t>
            </w:r>
          </w:p>
        </w:tc>
      </w:tr>
      <w:tr w:rsidR="00275B00" w:rsidRPr="00275B00" w:rsidTr="003028AA">
        <w:trPr>
          <w:trHeight w:val="282"/>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МВт</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Мегаватт</w:t>
            </w:r>
            <w:r w:rsidRPr="00275B00">
              <w:rPr>
                <w:rFonts w:asciiTheme="minorHAnsi" w:eastAsiaTheme="minorHAnsi" w:hAnsiTheme="minorHAnsi" w:cstheme="minorBidi"/>
                <w:sz w:val="22"/>
                <w:szCs w:val="22"/>
                <w:lang w:eastAsia="en-US"/>
              </w:rPr>
              <w:t xml:space="preserve"> </w:t>
            </w:r>
            <w:r w:rsidRPr="00275B00">
              <w:rPr>
                <w:rFonts w:eastAsia="Calibri"/>
                <w:lang w:eastAsia="en-US"/>
              </w:rPr>
              <w:t>10</w:t>
            </w:r>
            <w:r w:rsidRPr="00275B00">
              <w:rPr>
                <w:rFonts w:eastAsia="Calibri"/>
                <w:vertAlign w:val="superscript"/>
                <w:lang w:eastAsia="en-US"/>
              </w:rPr>
              <w:t>−6</w:t>
            </w:r>
            <w:r w:rsidRPr="00275B00">
              <w:rPr>
                <w:rFonts w:eastAsia="Calibri"/>
                <w:lang w:eastAsia="en-US"/>
              </w:rPr>
              <w:t xml:space="preserve"> Вт</w:t>
            </w:r>
          </w:p>
        </w:tc>
      </w:tr>
      <w:tr w:rsidR="00275B00" w:rsidRPr="00275B00" w:rsidTr="003028AA">
        <w:trPr>
          <w:trHeight w:val="282"/>
        </w:trPr>
        <w:tc>
          <w:tcPr>
            <w:tcW w:w="2268" w:type="dxa"/>
            <w:shd w:val="clear" w:color="auto" w:fill="FFFFFF"/>
          </w:tcPr>
          <w:p w:rsidR="00275B00" w:rsidRPr="00275B00" w:rsidRDefault="00275B00" w:rsidP="00121F7E">
            <w:pPr>
              <w:rPr>
                <w:rFonts w:eastAsia="Calibri"/>
                <w:lang w:eastAsia="en-US"/>
              </w:rPr>
            </w:pPr>
            <w:r w:rsidRPr="00275B00">
              <w:rPr>
                <w:rFonts w:eastAsia="Calibri"/>
                <w:lang w:eastAsia="en-US"/>
              </w:rPr>
              <w:t>кВт</w:t>
            </w:r>
          </w:p>
        </w:tc>
        <w:tc>
          <w:tcPr>
            <w:tcW w:w="7444" w:type="dxa"/>
            <w:shd w:val="clear" w:color="auto" w:fill="FFFFFF"/>
          </w:tcPr>
          <w:p w:rsidR="00275B00" w:rsidRPr="00275B00" w:rsidRDefault="00275B00" w:rsidP="00121F7E">
            <w:pPr>
              <w:jc w:val="both"/>
              <w:rPr>
                <w:rFonts w:eastAsia="Calibri"/>
                <w:lang w:eastAsia="en-US"/>
              </w:rPr>
            </w:pPr>
            <w:r w:rsidRPr="00275B00">
              <w:rPr>
                <w:rFonts w:eastAsia="Calibri"/>
                <w:lang w:eastAsia="en-US"/>
              </w:rPr>
              <w:t>Киловатт 10</w:t>
            </w:r>
            <w:r w:rsidRPr="00275B00">
              <w:rPr>
                <w:rFonts w:eastAsia="Calibri"/>
                <w:vertAlign w:val="superscript"/>
                <w:lang w:eastAsia="en-US"/>
              </w:rPr>
              <w:t>−3</w:t>
            </w:r>
            <w:r w:rsidRPr="00275B00">
              <w:rPr>
                <w:rFonts w:eastAsia="Calibri"/>
                <w:lang w:eastAsia="en-US"/>
              </w:rPr>
              <w:t xml:space="preserve"> Вт</w:t>
            </w:r>
          </w:p>
        </w:tc>
      </w:tr>
    </w:tbl>
    <w:p w:rsidR="00275B00" w:rsidRPr="00120AF7" w:rsidRDefault="00275B00" w:rsidP="00121F7E">
      <w:pPr>
        <w:spacing w:after="200"/>
        <w:jc w:val="both"/>
        <w:rPr>
          <w:rFonts w:eastAsiaTheme="minorHAnsi"/>
          <w:lang w:eastAsia="en-US"/>
        </w:rPr>
      </w:pPr>
    </w:p>
    <w:sectPr w:rsidR="00275B00" w:rsidRPr="00120AF7" w:rsidSect="002F2EE5">
      <w:pgSz w:w="11906" w:h="16838"/>
      <w:pgMar w:top="1134" w:right="748"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7FEF" w:rsidRDefault="00247FEF" w:rsidP="00C649E3">
      <w:r>
        <w:separator/>
      </w:r>
    </w:p>
  </w:endnote>
  <w:endnote w:type="continuationSeparator" w:id="0">
    <w:p w:rsidR="00247FEF" w:rsidRDefault="00247FEF" w:rsidP="00C649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GOpus">
    <w:altName w:val="Times New Roman"/>
    <w:panose1 w:val="00000000000000000000"/>
    <w:charset w:val="00"/>
    <w:family w:val="auto"/>
    <w:notTrueType/>
    <w:pitch w:val="variable"/>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_FuturaOrto">
    <w:altName w:val="Century Gothic"/>
    <w:charset w:val="CC"/>
    <w:family w:val="roman"/>
    <w:pitch w:val="default"/>
  </w:font>
  <w:font w:name="Consolas">
    <w:panose1 w:val="020B0609020204030204"/>
    <w:charset w:val="CC"/>
    <w:family w:val="modern"/>
    <w:pitch w:val="fixed"/>
    <w:sig w:usb0="E10002FF" w:usb1="4000FCFF" w:usb2="00000009" w:usb3="00000000" w:csb0="0000019F" w:csb1="00000000"/>
  </w:font>
  <w:font w:name="Lucida Sans Unicode">
    <w:panose1 w:val="020B0602030504020204"/>
    <w:charset w:val="CC"/>
    <w:family w:val="swiss"/>
    <w:pitch w:val="variable"/>
    <w:sig w:usb0="80000AFF" w:usb1="0000396B" w:usb2="00000000" w:usb3="00000000" w:csb0="000000B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AFF" w:usb1="C0007841"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inheri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61158960"/>
      <w:docPartObj>
        <w:docPartGallery w:val="Page Numbers (Bottom of Page)"/>
        <w:docPartUnique/>
      </w:docPartObj>
    </w:sdtPr>
    <w:sdtEndPr/>
    <w:sdtContent>
      <w:p w:rsidR="00247FEF" w:rsidRDefault="00247FEF">
        <w:pPr>
          <w:pStyle w:val="afd"/>
          <w:jc w:val="center"/>
        </w:pPr>
        <w:r>
          <w:fldChar w:fldCharType="begin"/>
        </w:r>
        <w:r>
          <w:instrText>PAGE   \* MERGEFORMAT</w:instrText>
        </w:r>
        <w:r>
          <w:fldChar w:fldCharType="separate"/>
        </w:r>
        <w:r w:rsidR="00334C62">
          <w:rPr>
            <w:noProof/>
          </w:rPr>
          <w:t>2</w:t>
        </w:r>
        <w:r>
          <w:fldChar w:fldCharType="end"/>
        </w:r>
      </w:p>
    </w:sdtContent>
  </w:sdt>
  <w:p w:rsidR="00247FEF" w:rsidRDefault="00247FEF">
    <w:pPr>
      <w:pStyle w:val="af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7FEF" w:rsidRDefault="00247FEF">
    <w:pPr>
      <w:pStyle w:val="afd"/>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separate"/>
    </w:r>
    <w:r>
      <w:rPr>
        <w:rStyle w:val="af5"/>
        <w:noProof/>
      </w:rPr>
      <w:t>101</w:t>
    </w:r>
    <w:r>
      <w:rPr>
        <w:rStyle w:val="af5"/>
      </w:rPr>
      <w:fldChar w:fldCharType="end"/>
    </w:r>
  </w:p>
  <w:p w:rsidR="00247FEF" w:rsidRDefault="00247FEF">
    <w:pPr>
      <w:pStyle w:val="afd"/>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6580093"/>
      <w:docPartObj>
        <w:docPartGallery w:val="Page Numbers (Bottom of Page)"/>
        <w:docPartUnique/>
      </w:docPartObj>
    </w:sdtPr>
    <w:sdtEndPr/>
    <w:sdtContent>
      <w:p w:rsidR="00247FEF" w:rsidRDefault="00247FEF">
        <w:pPr>
          <w:pStyle w:val="afd"/>
          <w:jc w:val="center"/>
        </w:pPr>
        <w:r>
          <w:fldChar w:fldCharType="begin"/>
        </w:r>
        <w:r>
          <w:instrText>PAGE   \* MERGEFORMAT</w:instrText>
        </w:r>
        <w:r>
          <w:fldChar w:fldCharType="separate"/>
        </w:r>
        <w:r w:rsidR="00334C62">
          <w:rPr>
            <w:noProof/>
          </w:rPr>
          <w:t>55</w:t>
        </w:r>
        <w:r>
          <w:fldChar w:fldCharType="end"/>
        </w:r>
      </w:p>
    </w:sdtContent>
  </w:sdt>
  <w:p w:rsidR="00247FEF" w:rsidRDefault="00247FEF">
    <w:pPr>
      <w:pStyle w:val="af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7FEF" w:rsidRDefault="00247FEF" w:rsidP="00C649E3">
      <w:r>
        <w:separator/>
      </w:r>
    </w:p>
  </w:footnote>
  <w:footnote w:type="continuationSeparator" w:id="0">
    <w:p w:rsidR="00247FEF" w:rsidRDefault="00247FEF" w:rsidP="00C649E3">
      <w:r>
        <w:continuationSeparator/>
      </w:r>
    </w:p>
  </w:footnote>
  <w:footnote w:id="1">
    <w:p w:rsidR="00247FEF" w:rsidRDefault="00247FEF" w:rsidP="00C649E3">
      <w:pPr>
        <w:pStyle w:val="aff7"/>
        <w:jc w:val="both"/>
      </w:pPr>
      <w:r>
        <w:rPr>
          <w:rStyle w:val="aff5"/>
        </w:rPr>
        <w:footnoteRef/>
      </w:r>
      <w:r>
        <w:t xml:space="preserve"> Сведения об Уставе ОАО «Каббалкэнерго» в предыдущей редакции содержатся в Годовом отчете  Общества за 2013 год.</w:t>
      </w:r>
    </w:p>
  </w:footnote>
  <w:footnote w:id="2">
    <w:p w:rsidR="00247FEF" w:rsidRDefault="00247FEF" w:rsidP="00C649E3">
      <w:pPr>
        <w:pStyle w:val="aff7"/>
        <w:jc w:val="both"/>
      </w:pPr>
      <w:r>
        <w:rPr>
          <w:rStyle w:val="aff5"/>
        </w:rPr>
        <w:footnoteRef/>
      </w:r>
      <w:r>
        <w:t xml:space="preserve"> </w:t>
      </w:r>
      <w:r>
        <w:rPr>
          <w:bCs/>
          <w:iCs/>
        </w:rPr>
        <w:t>Информация по членам персонального состава Совета директоров, избранного годовым Общим собранием акционеров 01.10.2013 (Протокол от 04.11.2013 № 41) представлена в Годовом отчете Общества за 2013 г.</w:t>
      </w:r>
    </w:p>
  </w:footnote>
  <w:footnote w:id="3">
    <w:p w:rsidR="00247FEF" w:rsidRDefault="00247FEF" w:rsidP="00C649E3">
      <w:pPr>
        <w:pStyle w:val="aff7"/>
      </w:pPr>
      <w:r>
        <w:rPr>
          <w:rStyle w:val="aff5"/>
        </w:rPr>
        <w:footnoteRef/>
      </w:r>
      <w:r>
        <w:t xml:space="preserve"> Информация по членам персонального состава Ревизионной комиссии ОАО «Каббалкэнерго», избранным годовым Общим собранием акционеров Общества 07.06.2013 (Протокол от 10.06.2012 № 40) представлена в Годовом отчете Общества за 2013 г.</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861D6B"/>
    <w:multiLevelType w:val="hybridMultilevel"/>
    <w:tmpl w:val="87D6C82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
    <w:nsid w:val="0D577523"/>
    <w:multiLevelType w:val="hybridMultilevel"/>
    <w:tmpl w:val="1C32344E"/>
    <w:lvl w:ilvl="0" w:tplc="FD2C117C">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
    <w:nsid w:val="0E6F6EB6"/>
    <w:multiLevelType w:val="hybridMultilevel"/>
    <w:tmpl w:val="10E20B00"/>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0ECF3DA7"/>
    <w:multiLevelType w:val="multilevel"/>
    <w:tmpl w:val="DC8C9030"/>
    <w:lvl w:ilvl="0">
      <w:start w:val="4"/>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0FC05AB5"/>
    <w:multiLevelType w:val="hybridMultilevel"/>
    <w:tmpl w:val="55E83EC6"/>
    <w:lvl w:ilvl="0" w:tplc="2A06ADA6">
      <w:start w:val="1"/>
      <w:numFmt w:val="decimal"/>
      <w:lvlText w:val="%1)"/>
      <w:lvlJc w:val="left"/>
      <w:pPr>
        <w:ind w:left="1068" w:hanging="360"/>
      </w:pPr>
      <w:rPr>
        <w:rFonts w:cs="Times New Roman" w:hint="default"/>
      </w:rPr>
    </w:lvl>
    <w:lvl w:ilvl="1" w:tplc="04190019">
      <w:start w:val="1"/>
      <w:numFmt w:val="lowerLetter"/>
      <w:lvlText w:val="%2."/>
      <w:lvlJc w:val="left"/>
      <w:pPr>
        <w:ind w:left="1788" w:hanging="360"/>
      </w:pPr>
      <w:rPr>
        <w:rFonts w:cs="Times New Roman"/>
      </w:rPr>
    </w:lvl>
    <w:lvl w:ilvl="2" w:tplc="0419001B">
      <w:start w:val="1"/>
      <w:numFmt w:val="lowerRoman"/>
      <w:lvlText w:val="%3."/>
      <w:lvlJc w:val="right"/>
      <w:pPr>
        <w:ind w:left="2508" w:hanging="180"/>
      </w:pPr>
      <w:rPr>
        <w:rFonts w:cs="Times New Roman"/>
      </w:rPr>
    </w:lvl>
    <w:lvl w:ilvl="3" w:tplc="0419000F">
      <w:start w:val="1"/>
      <w:numFmt w:val="decimal"/>
      <w:lvlText w:val="%4."/>
      <w:lvlJc w:val="left"/>
      <w:pPr>
        <w:ind w:left="3228" w:hanging="360"/>
      </w:pPr>
      <w:rPr>
        <w:rFonts w:cs="Times New Roman"/>
      </w:rPr>
    </w:lvl>
    <w:lvl w:ilvl="4" w:tplc="04190019">
      <w:start w:val="1"/>
      <w:numFmt w:val="lowerLetter"/>
      <w:lvlText w:val="%5."/>
      <w:lvlJc w:val="left"/>
      <w:pPr>
        <w:ind w:left="3948" w:hanging="360"/>
      </w:pPr>
      <w:rPr>
        <w:rFonts w:cs="Times New Roman"/>
      </w:rPr>
    </w:lvl>
    <w:lvl w:ilvl="5" w:tplc="0419001B">
      <w:start w:val="1"/>
      <w:numFmt w:val="lowerRoman"/>
      <w:lvlText w:val="%6."/>
      <w:lvlJc w:val="right"/>
      <w:pPr>
        <w:ind w:left="4668" w:hanging="180"/>
      </w:pPr>
      <w:rPr>
        <w:rFonts w:cs="Times New Roman"/>
      </w:rPr>
    </w:lvl>
    <w:lvl w:ilvl="6" w:tplc="0419000F">
      <w:start w:val="1"/>
      <w:numFmt w:val="decimal"/>
      <w:lvlText w:val="%7."/>
      <w:lvlJc w:val="left"/>
      <w:pPr>
        <w:ind w:left="5388" w:hanging="360"/>
      </w:pPr>
      <w:rPr>
        <w:rFonts w:cs="Times New Roman"/>
      </w:rPr>
    </w:lvl>
    <w:lvl w:ilvl="7" w:tplc="04190019">
      <w:start w:val="1"/>
      <w:numFmt w:val="lowerLetter"/>
      <w:lvlText w:val="%8."/>
      <w:lvlJc w:val="left"/>
      <w:pPr>
        <w:ind w:left="6108" w:hanging="360"/>
      </w:pPr>
      <w:rPr>
        <w:rFonts w:cs="Times New Roman"/>
      </w:rPr>
    </w:lvl>
    <w:lvl w:ilvl="8" w:tplc="0419001B">
      <w:start w:val="1"/>
      <w:numFmt w:val="lowerRoman"/>
      <w:lvlText w:val="%9."/>
      <w:lvlJc w:val="right"/>
      <w:pPr>
        <w:ind w:left="6828" w:hanging="180"/>
      </w:pPr>
      <w:rPr>
        <w:rFonts w:cs="Times New Roman"/>
      </w:rPr>
    </w:lvl>
  </w:abstractNum>
  <w:abstractNum w:abstractNumId="5">
    <w:nsid w:val="134450CC"/>
    <w:multiLevelType w:val="hybridMultilevel"/>
    <w:tmpl w:val="26EA2FAC"/>
    <w:lvl w:ilvl="0" w:tplc="1FE02646">
      <w:start w:val="7"/>
      <w:numFmt w:val="upperRoman"/>
      <w:pStyle w:val="8"/>
      <w:lvlText w:val="%1."/>
      <w:lvlJc w:val="left"/>
      <w:pPr>
        <w:tabs>
          <w:tab w:val="num" w:pos="1287"/>
        </w:tabs>
        <w:ind w:left="1287" w:hanging="720"/>
      </w:pPr>
      <w:rPr>
        <w:rFonts w:hint="default"/>
      </w:rPr>
    </w:lvl>
    <w:lvl w:ilvl="1" w:tplc="A12802F4">
      <w:numFmt w:val="none"/>
      <w:lvlText w:val=""/>
      <w:lvlJc w:val="left"/>
      <w:pPr>
        <w:tabs>
          <w:tab w:val="num" w:pos="360"/>
        </w:tabs>
      </w:pPr>
    </w:lvl>
    <w:lvl w:ilvl="2" w:tplc="C05E6FB2">
      <w:numFmt w:val="none"/>
      <w:lvlText w:val=""/>
      <w:lvlJc w:val="left"/>
      <w:pPr>
        <w:tabs>
          <w:tab w:val="num" w:pos="360"/>
        </w:tabs>
      </w:pPr>
    </w:lvl>
    <w:lvl w:ilvl="3" w:tplc="5BBC8CF2">
      <w:numFmt w:val="none"/>
      <w:lvlText w:val=""/>
      <w:lvlJc w:val="left"/>
      <w:pPr>
        <w:tabs>
          <w:tab w:val="num" w:pos="360"/>
        </w:tabs>
      </w:pPr>
    </w:lvl>
    <w:lvl w:ilvl="4" w:tplc="9B825208">
      <w:numFmt w:val="none"/>
      <w:lvlText w:val=""/>
      <w:lvlJc w:val="left"/>
      <w:pPr>
        <w:tabs>
          <w:tab w:val="num" w:pos="360"/>
        </w:tabs>
      </w:pPr>
    </w:lvl>
    <w:lvl w:ilvl="5" w:tplc="834A2E9E">
      <w:numFmt w:val="none"/>
      <w:lvlText w:val=""/>
      <w:lvlJc w:val="left"/>
      <w:pPr>
        <w:tabs>
          <w:tab w:val="num" w:pos="360"/>
        </w:tabs>
      </w:pPr>
    </w:lvl>
    <w:lvl w:ilvl="6" w:tplc="B4D00DCA">
      <w:numFmt w:val="none"/>
      <w:lvlText w:val=""/>
      <w:lvlJc w:val="left"/>
      <w:pPr>
        <w:tabs>
          <w:tab w:val="num" w:pos="360"/>
        </w:tabs>
      </w:pPr>
    </w:lvl>
    <w:lvl w:ilvl="7" w:tplc="53FE9E7E">
      <w:numFmt w:val="none"/>
      <w:lvlText w:val=""/>
      <w:lvlJc w:val="left"/>
      <w:pPr>
        <w:tabs>
          <w:tab w:val="num" w:pos="360"/>
        </w:tabs>
      </w:pPr>
    </w:lvl>
    <w:lvl w:ilvl="8" w:tplc="BCB01AFC">
      <w:numFmt w:val="none"/>
      <w:lvlText w:val=""/>
      <w:lvlJc w:val="left"/>
      <w:pPr>
        <w:tabs>
          <w:tab w:val="num" w:pos="360"/>
        </w:tabs>
      </w:pPr>
    </w:lvl>
  </w:abstractNum>
  <w:abstractNum w:abstractNumId="6">
    <w:nsid w:val="13E576A2"/>
    <w:multiLevelType w:val="hybridMultilevel"/>
    <w:tmpl w:val="ED767AE4"/>
    <w:lvl w:ilvl="0" w:tplc="B14A063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nsid w:val="15E77418"/>
    <w:multiLevelType w:val="hybridMultilevel"/>
    <w:tmpl w:val="F5B2533A"/>
    <w:lvl w:ilvl="0" w:tplc="1958B072">
      <w:start w:val="1"/>
      <w:numFmt w:val="bullet"/>
      <w:lvlText w:val="-"/>
      <w:lvlJc w:val="left"/>
      <w:pPr>
        <w:tabs>
          <w:tab w:val="num" w:pos="927"/>
        </w:tabs>
        <w:ind w:left="927"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6420A22"/>
    <w:multiLevelType w:val="hybridMultilevel"/>
    <w:tmpl w:val="BD7E0BE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BA120BF"/>
    <w:multiLevelType w:val="hybridMultilevel"/>
    <w:tmpl w:val="D8523D7A"/>
    <w:lvl w:ilvl="0" w:tplc="5BECC250">
      <w:start w:val="3"/>
      <w:numFmt w:val="bullet"/>
      <w:lvlText w:val="-"/>
      <w:lvlJc w:val="left"/>
      <w:pPr>
        <w:ind w:left="1080" w:hanging="360"/>
      </w:pPr>
      <w:rPr>
        <w:rFont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1D841207"/>
    <w:multiLevelType w:val="hybridMultilevel"/>
    <w:tmpl w:val="8B4ECEAE"/>
    <w:lvl w:ilvl="0" w:tplc="B14A063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1E543C56"/>
    <w:multiLevelType w:val="hybridMultilevel"/>
    <w:tmpl w:val="F25EAFC8"/>
    <w:lvl w:ilvl="0" w:tplc="5BECC250">
      <w:start w:val="3"/>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11561EF"/>
    <w:multiLevelType w:val="hybridMultilevel"/>
    <w:tmpl w:val="93A00158"/>
    <w:lvl w:ilvl="0" w:tplc="5BECC250">
      <w:start w:val="3"/>
      <w:numFmt w:val="bullet"/>
      <w:lvlText w:val="-"/>
      <w:lvlJc w:val="left"/>
      <w:pPr>
        <w:ind w:left="1854" w:hanging="360"/>
      </w:pPr>
      <w:rPr>
        <w:rFonts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3">
    <w:nsid w:val="2B786528"/>
    <w:multiLevelType w:val="singleLevel"/>
    <w:tmpl w:val="FC9A5CAC"/>
    <w:lvl w:ilvl="0">
      <w:start w:val="1"/>
      <w:numFmt w:val="decimal"/>
      <w:lvlText w:val="%1)"/>
      <w:legacy w:legacy="1" w:legacySpace="0" w:legacyIndent="283"/>
      <w:lvlJc w:val="left"/>
      <w:rPr>
        <w:rFonts w:ascii="Times New Roman" w:hAnsi="Times New Roman" w:cs="Times New Roman" w:hint="default"/>
      </w:rPr>
    </w:lvl>
  </w:abstractNum>
  <w:abstractNum w:abstractNumId="14">
    <w:nsid w:val="2BB46356"/>
    <w:multiLevelType w:val="hybridMultilevel"/>
    <w:tmpl w:val="4776CA6E"/>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2BCD02A9"/>
    <w:multiLevelType w:val="hybridMultilevel"/>
    <w:tmpl w:val="7758E6F6"/>
    <w:lvl w:ilvl="0" w:tplc="A5AE9220">
      <w:start w:val="1"/>
      <w:numFmt w:val="bullet"/>
      <w:lvlText w:val="•"/>
      <w:lvlJc w:val="left"/>
      <w:pPr>
        <w:tabs>
          <w:tab w:val="num" w:pos="360"/>
        </w:tabs>
        <w:ind w:left="360" w:hanging="360"/>
      </w:pPr>
      <w:rPr>
        <w:rFonts w:ascii="Times New Roman" w:hAnsi="Times New Roman" w:cs="Times New Roman" w:hint="default"/>
        <w:color w:val="auto"/>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6">
    <w:nsid w:val="2CE76677"/>
    <w:multiLevelType w:val="hybridMultilevel"/>
    <w:tmpl w:val="7D7A0DE0"/>
    <w:lvl w:ilvl="0" w:tplc="0419000B">
      <w:start w:val="1"/>
      <w:numFmt w:val="bullet"/>
      <w:lvlText w:val=""/>
      <w:lvlJc w:val="left"/>
      <w:pPr>
        <w:ind w:left="1080" w:hanging="360"/>
      </w:pPr>
      <w:rPr>
        <w:rFonts w:ascii="Wingdings" w:hAnsi="Wingdings"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31582B42"/>
    <w:multiLevelType w:val="multilevel"/>
    <w:tmpl w:val="88C8E24E"/>
    <w:lvl w:ilvl="0">
      <w:start w:val="7"/>
      <w:numFmt w:val="decimal"/>
      <w:lvlText w:val="%1."/>
      <w:lvlJc w:val="left"/>
      <w:pPr>
        <w:ind w:left="360" w:hanging="360"/>
      </w:pPr>
      <w:rPr>
        <w:rFonts w:hint="default"/>
      </w:rPr>
    </w:lvl>
    <w:lvl w:ilvl="1">
      <w:start w:val="2"/>
      <w:numFmt w:val="decimal"/>
      <w:lvlText w:val="%1.%2."/>
      <w:lvlJc w:val="left"/>
      <w:pPr>
        <w:ind w:left="3338"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322F68A8"/>
    <w:multiLevelType w:val="hybridMultilevel"/>
    <w:tmpl w:val="7FCC4F96"/>
    <w:lvl w:ilvl="0" w:tplc="FFFFFFFF">
      <w:start w:val="1"/>
      <w:numFmt w:val="bullet"/>
      <w:lvlText w:val="-"/>
      <w:lvlJc w:val="left"/>
      <w:pPr>
        <w:tabs>
          <w:tab w:val="num" w:pos="1080"/>
        </w:tabs>
        <w:ind w:left="0" w:firstLine="720"/>
      </w:pPr>
    </w:lvl>
    <w:lvl w:ilvl="1" w:tplc="FFFFFFFF">
      <w:start w:val="1"/>
      <w:numFmt w:val="bullet"/>
      <w:lvlText w:val="o"/>
      <w:lvlJc w:val="left"/>
      <w:pPr>
        <w:tabs>
          <w:tab w:val="num" w:pos="2007"/>
        </w:tabs>
        <w:ind w:left="2007" w:hanging="360"/>
      </w:pPr>
      <w:rPr>
        <w:rFonts w:ascii="Courier New" w:hAnsi="Courier New" w:cs="Times New Roman" w:hint="default"/>
      </w:rPr>
    </w:lvl>
    <w:lvl w:ilvl="2" w:tplc="FFFFFFFF">
      <w:start w:val="1"/>
      <w:numFmt w:val="bullet"/>
      <w:lvlText w:val=""/>
      <w:lvlJc w:val="left"/>
      <w:pPr>
        <w:tabs>
          <w:tab w:val="num" w:pos="2727"/>
        </w:tabs>
        <w:ind w:left="2727" w:hanging="360"/>
      </w:pPr>
      <w:rPr>
        <w:rFonts w:ascii="Wingdings" w:hAnsi="Wingdings" w:hint="default"/>
      </w:rPr>
    </w:lvl>
    <w:lvl w:ilvl="3" w:tplc="FFFFFFFF">
      <w:start w:val="1"/>
      <w:numFmt w:val="bullet"/>
      <w:lvlText w:val=""/>
      <w:lvlJc w:val="left"/>
      <w:pPr>
        <w:tabs>
          <w:tab w:val="num" w:pos="3447"/>
        </w:tabs>
        <w:ind w:left="3447" w:hanging="360"/>
      </w:pPr>
      <w:rPr>
        <w:rFonts w:ascii="Symbol" w:hAnsi="Symbol" w:hint="default"/>
      </w:rPr>
    </w:lvl>
    <w:lvl w:ilvl="4" w:tplc="FFFFFFFF">
      <w:start w:val="1"/>
      <w:numFmt w:val="bullet"/>
      <w:lvlText w:val="o"/>
      <w:lvlJc w:val="left"/>
      <w:pPr>
        <w:tabs>
          <w:tab w:val="num" w:pos="4167"/>
        </w:tabs>
        <w:ind w:left="4167" w:hanging="360"/>
      </w:pPr>
      <w:rPr>
        <w:rFonts w:ascii="Courier New" w:hAnsi="Courier New" w:cs="Times New Roman" w:hint="default"/>
      </w:rPr>
    </w:lvl>
    <w:lvl w:ilvl="5" w:tplc="FFFFFFFF">
      <w:start w:val="1"/>
      <w:numFmt w:val="bullet"/>
      <w:lvlText w:val=""/>
      <w:lvlJc w:val="left"/>
      <w:pPr>
        <w:tabs>
          <w:tab w:val="num" w:pos="4887"/>
        </w:tabs>
        <w:ind w:left="4887" w:hanging="360"/>
      </w:pPr>
      <w:rPr>
        <w:rFonts w:ascii="Wingdings" w:hAnsi="Wingdings" w:hint="default"/>
      </w:rPr>
    </w:lvl>
    <w:lvl w:ilvl="6" w:tplc="FFFFFFFF">
      <w:start w:val="1"/>
      <w:numFmt w:val="bullet"/>
      <w:lvlText w:val=""/>
      <w:lvlJc w:val="left"/>
      <w:pPr>
        <w:tabs>
          <w:tab w:val="num" w:pos="5607"/>
        </w:tabs>
        <w:ind w:left="5607" w:hanging="360"/>
      </w:pPr>
      <w:rPr>
        <w:rFonts w:ascii="Symbol" w:hAnsi="Symbol" w:hint="default"/>
      </w:rPr>
    </w:lvl>
    <w:lvl w:ilvl="7" w:tplc="FFFFFFFF">
      <w:start w:val="1"/>
      <w:numFmt w:val="bullet"/>
      <w:lvlText w:val="o"/>
      <w:lvlJc w:val="left"/>
      <w:pPr>
        <w:tabs>
          <w:tab w:val="num" w:pos="6327"/>
        </w:tabs>
        <w:ind w:left="6327" w:hanging="360"/>
      </w:pPr>
      <w:rPr>
        <w:rFonts w:ascii="Courier New" w:hAnsi="Courier New" w:cs="Times New Roman" w:hint="default"/>
      </w:rPr>
    </w:lvl>
    <w:lvl w:ilvl="8" w:tplc="FFFFFFFF">
      <w:start w:val="1"/>
      <w:numFmt w:val="bullet"/>
      <w:lvlText w:val=""/>
      <w:lvlJc w:val="left"/>
      <w:pPr>
        <w:tabs>
          <w:tab w:val="num" w:pos="7047"/>
        </w:tabs>
        <w:ind w:left="7047" w:hanging="360"/>
      </w:pPr>
      <w:rPr>
        <w:rFonts w:ascii="Wingdings" w:hAnsi="Wingdings" w:hint="default"/>
      </w:rPr>
    </w:lvl>
  </w:abstractNum>
  <w:abstractNum w:abstractNumId="19">
    <w:nsid w:val="33254369"/>
    <w:multiLevelType w:val="hybridMultilevel"/>
    <w:tmpl w:val="A3323778"/>
    <w:lvl w:ilvl="0" w:tplc="ECCE19B2">
      <w:start w:val="1"/>
      <w:numFmt w:val="decimal"/>
      <w:lvlText w:val="%1."/>
      <w:lvlJc w:val="left"/>
      <w:pPr>
        <w:tabs>
          <w:tab w:val="num" w:pos="1069"/>
        </w:tabs>
        <w:ind w:left="1069" w:hanging="360"/>
      </w:pPr>
      <w:rPr>
        <w:rFonts w:hint="default"/>
        <w:spacing w:val="0"/>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7091EFF"/>
    <w:multiLevelType w:val="hybridMultilevel"/>
    <w:tmpl w:val="700A95C8"/>
    <w:lvl w:ilvl="0" w:tplc="8D2AFCCC">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CE7386A"/>
    <w:multiLevelType w:val="hybridMultilevel"/>
    <w:tmpl w:val="D1C872CE"/>
    <w:lvl w:ilvl="0" w:tplc="5BECC250">
      <w:start w:val="3"/>
      <w:numFmt w:val="bullet"/>
      <w:lvlText w:val="-"/>
      <w:lvlJc w:val="left"/>
      <w:pPr>
        <w:ind w:left="2149" w:hanging="360"/>
      </w:pPr>
      <w:rPr>
        <w:rFonts w:hint="default"/>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22">
    <w:nsid w:val="41312F3D"/>
    <w:multiLevelType w:val="hybridMultilevel"/>
    <w:tmpl w:val="F42CFDD0"/>
    <w:lvl w:ilvl="0" w:tplc="04190005">
      <w:start w:val="1"/>
      <w:numFmt w:val="bullet"/>
      <w:lvlText w:val=""/>
      <w:lvlJc w:val="left"/>
      <w:pPr>
        <w:ind w:left="1400" w:hanging="360"/>
      </w:pPr>
      <w:rPr>
        <w:rFonts w:ascii="Wingdings" w:hAnsi="Wingdings"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3">
    <w:nsid w:val="42C96B7F"/>
    <w:multiLevelType w:val="hybridMultilevel"/>
    <w:tmpl w:val="74C8B5D8"/>
    <w:lvl w:ilvl="0" w:tplc="7B40EB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4714190D"/>
    <w:multiLevelType w:val="multilevel"/>
    <w:tmpl w:val="62A23ECE"/>
    <w:lvl w:ilvl="0">
      <w:start w:val="1"/>
      <w:numFmt w:val="decimal"/>
      <w:lvlText w:val="%1."/>
      <w:lvlJc w:val="left"/>
      <w:pPr>
        <w:ind w:left="720" w:hanging="360"/>
      </w:pPr>
      <w:rPr>
        <w:rFonts w:hint="default"/>
      </w:rPr>
    </w:lvl>
    <w:lvl w:ilvl="1">
      <w:start w:val="2"/>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25">
    <w:nsid w:val="484B2788"/>
    <w:multiLevelType w:val="hybridMultilevel"/>
    <w:tmpl w:val="B2563E6A"/>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26">
    <w:nsid w:val="491C76A9"/>
    <w:multiLevelType w:val="hybridMultilevel"/>
    <w:tmpl w:val="D5B064C6"/>
    <w:lvl w:ilvl="0" w:tplc="A5AE9220">
      <w:start w:val="1"/>
      <w:numFmt w:val="bullet"/>
      <w:lvlText w:val="•"/>
      <w:lvlJc w:val="left"/>
      <w:pPr>
        <w:ind w:left="1287" w:hanging="360"/>
      </w:pPr>
      <w:rPr>
        <w:rFonts w:ascii="Times New Roman" w:hAnsi="Times New Roman" w:cs="Times New Roman"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49562DDF"/>
    <w:multiLevelType w:val="hybridMultilevel"/>
    <w:tmpl w:val="EB5607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49784E01"/>
    <w:multiLevelType w:val="multilevel"/>
    <w:tmpl w:val="7DDA997C"/>
    <w:lvl w:ilvl="0">
      <w:start w:val="1"/>
      <w:numFmt w:val="decimal"/>
      <w:pStyle w:val="a"/>
      <w:lvlText w:val="%1."/>
      <w:lvlJc w:val="left"/>
      <w:pPr>
        <w:tabs>
          <w:tab w:val="num" w:pos="900"/>
        </w:tabs>
        <w:ind w:left="180" w:firstLine="0"/>
      </w:pPr>
    </w:lvl>
    <w:lvl w:ilvl="1">
      <w:start w:val="1"/>
      <w:numFmt w:val="decimal"/>
      <w:lvlText w:val="%1.%2."/>
      <w:lvlJc w:val="left"/>
      <w:pPr>
        <w:tabs>
          <w:tab w:val="num" w:pos="1080"/>
        </w:tabs>
        <w:ind w:left="0" w:firstLine="0"/>
      </w:pPr>
    </w:lvl>
    <w:lvl w:ilvl="2">
      <w:start w:val="1"/>
      <w:numFmt w:val="decimal"/>
      <w:pStyle w:val="2"/>
      <w:lvlText w:val="%1.%2.%3."/>
      <w:lvlJc w:val="left"/>
      <w:pPr>
        <w:tabs>
          <w:tab w:val="num" w:pos="1440"/>
        </w:tabs>
        <w:ind w:left="0" w:firstLine="0"/>
      </w:pPr>
    </w:lvl>
    <w:lvl w:ilvl="3">
      <w:start w:val="1"/>
      <w:numFmt w:val="decimal"/>
      <w:pStyle w:val="3"/>
      <w:lvlText w:val="%1.%2.%3.%4."/>
      <w:lvlJc w:val="left"/>
      <w:pPr>
        <w:tabs>
          <w:tab w:val="num" w:pos="1800"/>
        </w:tabs>
        <w:ind w:left="0" w:firstLine="0"/>
      </w:pPr>
    </w:lvl>
    <w:lvl w:ilvl="4">
      <w:start w:val="1"/>
      <w:numFmt w:val="decimal"/>
      <w:pStyle w:val="2"/>
      <w:lvlText w:val="%1.%2.%3.%4.%5."/>
      <w:lvlJc w:val="left"/>
      <w:pPr>
        <w:tabs>
          <w:tab w:val="num" w:pos="2160"/>
        </w:tabs>
        <w:ind w:left="0" w:firstLine="0"/>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29">
    <w:nsid w:val="4C5E7160"/>
    <w:multiLevelType w:val="multilevel"/>
    <w:tmpl w:val="E8E06E6E"/>
    <w:lvl w:ilvl="0">
      <w:start w:val="1"/>
      <w:numFmt w:val="decimal"/>
      <w:pStyle w:val="1"/>
      <w:lvlText w:val="%1."/>
      <w:lvlJc w:val="center"/>
      <w:pPr>
        <w:tabs>
          <w:tab w:val="num" w:pos="567"/>
        </w:tabs>
        <w:ind w:left="567" w:hanging="279"/>
      </w:pPr>
      <w:rPr>
        <w:rFonts w:hint="default"/>
      </w:rPr>
    </w:lvl>
    <w:lvl w:ilvl="1">
      <w:start w:val="1"/>
      <w:numFmt w:val="decimal"/>
      <w:pStyle w:val="a0"/>
      <w:lvlText w:val="%1.%2."/>
      <w:lvlJc w:val="left"/>
      <w:pPr>
        <w:tabs>
          <w:tab w:val="num" w:pos="567"/>
        </w:tabs>
        <w:ind w:left="567" w:hanging="567"/>
      </w:pPr>
      <w:rPr>
        <w:rFonts w:hint="default"/>
      </w:rPr>
    </w:lvl>
    <w:lvl w:ilvl="2">
      <w:start w:val="1"/>
      <w:numFmt w:val="decimal"/>
      <w:pStyle w:val="a1"/>
      <w:lvlText w:val="%1.%2.%3"/>
      <w:lvlJc w:val="left"/>
      <w:pPr>
        <w:tabs>
          <w:tab w:val="num" w:pos="851"/>
        </w:tabs>
        <w:ind w:left="851" w:hanging="851"/>
      </w:pPr>
      <w:rPr>
        <w:rFonts w:hint="default"/>
      </w:rPr>
    </w:lvl>
    <w:lvl w:ilvl="3">
      <w:start w:val="1"/>
      <w:numFmt w:val="decimal"/>
      <w:pStyle w:val="a2"/>
      <w:lvlText w:val="%1.%2.%3.%4."/>
      <w:lvlJc w:val="left"/>
      <w:pPr>
        <w:tabs>
          <w:tab w:val="num" w:pos="1844"/>
        </w:tabs>
        <w:ind w:left="1844" w:hanging="567"/>
      </w:pPr>
      <w:rPr>
        <w:rFonts w:hint="default"/>
      </w:rPr>
    </w:lvl>
    <w:lvl w:ilvl="4">
      <w:start w:val="1"/>
      <w:numFmt w:val="lowerLetter"/>
      <w:pStyle w:val="a3"/>
      <w:lvlText w:val="%5)"/>
      <w:lvlJc w:val="left"/>
      <w:pPr>
        <w:tabs>
          <w:tab w:val="num" w:pos="3560"/>
        </w:tabs>
        <w:ind w:left="3560"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30">
    <w:nsid w:val="4C6D3659"/>
    <w:multiLevelType w:val="hybridMultilevel"/>
    <w:tmpl w:val="5798F518"/>
    <w:lvl w:ilvl="0" w:tplc="B9B87CD0">
      <w:start w:val="1"/>
      <w:numFmt w:val="bullet"/>
      <w:lvlText w:val="−"/>
      <w:lvlJc w:val="left"/>
      <w:pPr>
        <w:ind w:left="928"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1">
    <w:nsid w:val="541A1DB5"/>
    <w:multiLevelType w:val="hybridMultilevel"/>
    <w:tmpl w:val="19F2C65E"/>
    <w:lvl w:ilvl="0" w:tplc="0419000B">
      <w:start w:val="1"/>
      <w:numFmt w:val="bullet"/>
      <w:lvlText w:val=""/>
      <w:lvlJc w:val="left"/>
      <w:pPr>
        <w:tabs>
          <w:tab w:val="num" w:pos="1068"/>
        </w:tabs>
        <w:ind w:left="1068" w:hanging="360"/>
      </w:pPr>
      <w:rPr>
        <w:rFonts w:ascii="Wingdings" w:hAnsi="Wingdings" w:hint="default"/>
      </w:rPr>
    </w:lvl>
    <w:lvl w:ilvl="1" w:tplc="0419000F">
      <w:start w:val="1"/>
      <w:numFmt w:val="decimal"/>
      <w:lvlText w:val="%2."/>
      <w:lvlJc w:val="left"/>
      <w:pPr>
        <w:tabs>
          <w:tab w:val="num" w:pos="1788"/>
        </w:tabs>
        <w:ind w:left="1788" w:hanging="360"/>
      </w:pPr>
      <w:rPr>
        <w:rFonts w:cs="Times New Roman"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32">
    <w:nsid w:val="5E151577"/>
    <w:multiLevelType w:val="hybridMultilevel"/>
    <w:tmpl w:val="738432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5FA213AF"/>
    <w:multiLevelType w:val="multilevel"/>
    <w:tmpl w:val="B19A0C70"/>
    <w:lvl w:ilvl="0">
      <w:start w:val="5"/>
      <w:numFmt w:val="decimal"/>
      <w:lvlText w:val="%1."/>
      <w:lvlJc w:val="left"/>
      <w:pPr>
        <w:ind w:left="540" w:hanging="540"/>
      </w:pPr>
    </w:lvl>
    <w:lvl w:ilvl="1">
      <w:start w:val="2"/>
      <w:numFmt w:val="decimal"/>
      <w:lvlText w:val="%1.%2."/>
      <w:lvlJc w:val="left"/>
      <w:pPr>
        <w:ind w:left="1249" w:hanging="540"/>
      </w:pPr>
    </w:lvl>
    <w:lvl w:ilvl="2">
      <w:start w:val="5"/>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abstractNum w:abstractNumId="34">
    <w:nsid w:val="62C61CDA"/>
    <w:multiLevelType w:val="hybridMultilevel"/>
    <w:tmpl w:val="09A20106"/>
    <w:lvl w:ilvl="0" w:tplc="3F806740">
      <w:start w:val="1"/>
      <w:numFmt w:val="bullet"/>
      <w:lvlText w:val="-"/>
      <w:lvlJc w:val="left"/>
      <w:pPr>
        <w:ind w:left="1080" w:hanging="360"/>
      </w:pPr>
      <w:rPr>
        <w:rFonts w:ascii="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nsid w:val="65943074"/>
    <w:multiLevelType w:val="hybridMultilevel"/>
    <w:tmpl w:val="9D58D4A4"/>
    <w:lvl w:ilvl="0" w:tplc="04190001">
      <w:start w:val="1"/>
      <w:numFmt w:val="bullet"/>
      <w:lvlText w:val=""/>
      <w:lvlJc w:val="left"/>
      <w:pPr>
        <w:tabs>
          <w:tab w:val="num" w:pos="720"/>
        </w:tabs>
        <w:ind w:left="720" w:hanging="360"/>
      </w:pPr>
      <w:rPr>
        <w:rFonts w:ascii="Symbol" w:hAnsi="Symbol" w:hint="default"/>
      </w:rPr>
    </w:lvl>
    <w:lvl w:ilvl="1" w:tplc="0419000F">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6">
    <w:nsid w:val="6A8113F1"/>
    <w:multiLevelType w:val="hybridMultilevel"/>
    <w:tmpl w:val="73249F7E"/>
    <w:lvl w:ilvl="0" w:tplc="3F806740">
      <w:start w:val="1"/>
      <w:numFmt w:val="bullet"/>
      <w:lvlText w:val="-"/>
      <w:lvlJc w:val="left"/>
      <w:pPr>
        <w:ind w:left="1080" w:hanging="360"/>
      </w:pPr>
      <w:rPr>
        <w:rFonts w:ascii="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nsid w:val="6AF913F9"/>
    <w:multiLevelType w:val="singleLevel"/>
    <w:tmpl w:val="5BECC250"/>
    <w:lvl w:ilvl="0">
      <w:start w:val="3"/>
      <w:numFmt w:val="bullet"/>
      <w:lvlText w:val="-"/>
      <w:lvlJc w:val="left"/>
      <w:pPr>
        <w:tabs>
          <w:tab w:val="num" w:pos="927"/>
        </w:tabs>
        <w:ind w:left="0" w:firstLine="567"/>
      </w:pPr>
    </w:lvl>
  </w:abstractNum>
  <w:abstractNum w:abstractNumId="38">
    <w:nsid w:val="6F3A603F"/>
    <w:multiLevelType w:val="hybridMultilevel"/>
    <w:tmpl w:val="16565D78"/>
    <w:lvl w:ilvl="0" w:tplc="309C2C72">
      <w:start w:val="1"/>
      <w:numFmt w:val="bullet"/>
      <w:lvlText w:val="•"/>
      <w:lvlJc w:val="left"/>
      <w:pPr>
        <w:tabs>
          <w:tab w:val="num" w:pos="720"/>
        </w:tabs>
        <w:ind w:left="720" w:hanging="360"/>
      </w:pPr>
      <w:rPr>
        <w:rFonts w:ascii="Times New Roman" w:hAnsi="Times New Roman" w:cs="Times New Roman" w:hint="default"/>
      </w:rPr>
    </w:lvl>
    <w:lvl w:ilvl="1" w:tplc="67DE0CEC">
      <w:start w:val="1"/>
      <w:numFmt w:val="bullet"/>
      <w:lvlText w:val="•"/>
      <w:lvlJc w:val="left"/>
      <w:pPr>
        <w:tabs>
          <w:tab w:val="num" w:pos="1440"/>
        </w:tabs>
        <w:ind w:left="1440" w:hanging="360"/>
      </w:pPr>
      <w:rPr>
        <w:rFonts w:ascii="Times New Roman" w:hAnsi="Times New Roman" w:cs="Times New Roman" w:hint="default"/>
      </w:rPr>
    </w:lvl>
    <w:lvl w:ilvl="2" w:tplc="33BAEEC2">
      <w:start w:val="1"/>
      <w:numFmt w:val="bullet"/>
      <w:lvlText w:val="•"/>
      <w:lvlJc w:val="left"/>
      <w:pPr>
        <w:tabs>
          <w:tab w:val="num" w:pos="2160"/>
        </w:tabs>
        <w:ind w:left="2160" w:hanging="360"/>
      </w:pPr>
      <w:rPr>
        <w:rFonts w:ascii="Times New Roman" w:hAnsi="Times New Roman" w:cs="Times New Roman" w:hint="default"/>
      </w:rPr>
    </w:lvl>
    <w:lvl w:ilvl="3" w:tplc="1444D344">
      <w:start w:val="1"/>
      <w:numFmt w:val="bullet"/>
      <w:lvlText w:val="•"/>
      <w:lvlJc w:val="left"/>
      <w:pPr>
        <w:tabs>
          <w:tab w:val="num" w:pos="2880"/>
        </w:tabs>
        <w:ind w:left="2880" w:hanging="360"/>
      </w:pPr>
      <w:rPr>
        <w:rFonts w:ascii="Times New Roman" w:hAnsi="Times New Roman" w:cs="Times New Roman" w:hint="default"/>
      </w:rPr>
    </w:lvl>
    <w:lvl w:ilvl="4" w:tplc="5978AB96">
      <w:start w:val="1"/>
      <w:numFmt w:val="bullet"/>
      <w:lvlText w:val="•"/>
      <w:lvlJc w:val="left"/>
      <w:pPr>
        <w:tabs>
          <w:tab w:val="num" w:pos="3600"/>
        </w:tabs>
        <w:ind w:left="3600" w:hanging="360"/>
      </w:pPr>
      <w:rPr>
        <w:rFonts w:ascii="Times New Roman" w:hAnsi="Times New Roman" w:cs="Times New Roman" w:hint="default"/>
      </w:rPr>
    </w:lvl>
    <w:lvl w:ilvl="5" w:tplc="4DA89F6A">
      <w:start w:val="1"/>
      <w:numFmt w:val="bullet"/>
      <w:lvlText w:val="•"/>
      <w:lvlJc w:val="left"/>
      <w:pPr>
        <w:tabs>
          <w:tab w:val="num" w:pos="4320"/>
        </w:tabs>
        <w:ind w:left="4320" w:hanging="360"/>
      </w:pPr>
      <w:rPr>
        <w:rFonts w:ascii="Times New Roman" w:hAnsi="Times New Roman" w:cs="Times New Roman" w:hint="default"/>
      </w:rPr>
    </w:lvl>
    <w:lvl w:ilvl="6" w:tplc="4066118A">
      <w:start w:val="1"/>
      <w:numFmt w:val="bullet"/>
      <w:lvlText w:val="•"/>
      <w:lvlJc w:val="left"/>
      <w:pPr>
        <w:tabs>
          <w:tab w:val="num" w:pos="5040"/>
        </w:tabs>
        <w:ind w:left="5040" w:hanging="360"/>
      </w:pPr>
      <w:rPr>
        <w:rFonts w:ascii="Times New Roman" w:hAnsi="Times New Roman" w:cs="Times New Roman" w:hint="default"/>
      </w:rPr>
    </w:lvl>
    <w:lvl w:ilvl="7" w:tplc="29B66FEA">
      <w:start w:val="1"/>
      <w:numFmt w:val="bullet"/>
      <w:lvlText w:val="•"/>
      <w:lvlJc w:val="left"/>
      <w:pPr>
        <w:tabs>
          <w:tab w:val="num" w:pos="5760"/>
        </w:tabs>
        <w:ind w:left="5760" w:hanging="360"/>
      </w:pPr>
      <w:rPr>
        <w:rFonts w:ascii="Times New Roman" w:hAnsi="Times New Roman" w:cs="Times New Roman" w:hint="default"/>
      </w:rPr>
    </w:lvl>
    <w:lvl w:ilvl="8" w:tplc="EF8ECAEC">
      <w:start w:val="1"/>
      <w:numFmt w:val="bullet"/>
      <w:lvlText w:val="•"/>
      <w:lvlJc w:val="left"/>
      <w:pPr>
        <w:tabs>
          <w:tab w:val="num" w:pos="6480"/>
        </w:tabs>
        <w:ind w:left="6480" w:hanging="360"/>
      </w:pPr>
      <w:rPr>
        <w:rFonts w:ascii="Times New Roman" w:hAnsi="Times New Roman" w:cs="Times New Roman" w:hint="default"/>
      </w:rPr>
    </w:lvl>
  </w:abstractNum>
  <w:abstractNum w:abstractNumId="39">
    <w:nsid w:val="703C6CB5"/>
    <w:multiLevelType w:val="multilevel"/>
    <w:tmpl w:val="31FE6E7E"/>
    <w:lvl w:ilvl="0">
      <w:start w:val="5"/>
      <w:numFmt w:val="decimal"/>
      <w:lvlText w:val="%1."/>
      <w:lvlJc w:val="left"/>
      <w:pPr>
        <w:ind w:left="675" w:hanging="675"/>
      </w:pPr>
    </w:lvl>
    <w:lvl w:ilvl="1">
      <w:start w:val="2"/>
      <w:numFmt w:val="decimal"/>
      <w:lvlText w:val="%1.%2."/>
      <w:lvlJc w:val="left"/>
      <w:pPr>
        <w:ind w:left="1074" w:hanging="720"/>
      </w:pPr>
    </w:lvl>
    <w:lvl w:ilvl="2">
      <w:start w:val="6"/>
      <w:numFmt w:val="decimal"/>
      <w:lvlText w:val="%1.%2.%3."/>
      <w:lvlJc w:val="left"/>
      <w:pPr>
        <w:ind w:left="1428" w:hanging="720"/>
      </w:pPr>
    </w:lvl>
    <w:lvl w:ilvl="3">
      <w:start w:val="1"/>
      <w:numFmt w:val="decimal"/>
      <w:lvlText w:val="%1.%2.%3.%4."/>
      <w:lvlJc w:val="left"/>
      <w:pPr>
        <w:ind w:left="2142" w:hanging="1080"/>
      </w:pPr>
    </w:lvl>
    <w:lvl w:ilvl="4">
      <w:start w:val="1"/>
      <w:numFmt w:val="decimal"/>
      <w:lvlText w:val="%1.%2.%3.%4.%5."/>
      <w:lvlJc w:val="left"/>
      <w:pPr>
        <w:ind w:left="2496" w:hanging="1080"/>
      </w:pPr>
    </w:lvl>
    <w:lvl w:ilvl="5">
      <w:start w:val="1"/>
      <w:numFmt w:val="decimal"/>
      <w:lvlText w:val="%1.%2.%3.%4.%5.%6."/>
      <w:lvlJc w:val="left"/>
      <w:pPr>
        <w:ind w:left="3210" w:hanging="1440"/>
      </w:pPr>
    </w:lvl>
    <w:lvl w:ilvl="6">
      <w:start w:val="1"/>
      <w:numFmt w:val="decimal"/>
      <w:lvlText w:val="%1.%2.%3.%4.%5.%6.%7."/>
      <w:lvlJc w:val="left"/>
      <w:pPr>
        <w:ind w:left="3924" w:hanging="1800"/>
      </w:pPr>
    </w:lvl>
    <w:lvl w:ilvl="7">
      <w:start w:val="1"/>
      <w:numFmt w:val="decimal"/>
      <w:lvlText w:val="%1.%2.%3.%4.%5.%6.%7.%8."/>
      <w:lvlJc w:val="left"/>
      <w:pPr>
        <w:ind w:left="4278" w:hanging="1800"/>
      </w:pPr>
    </w:lvl>
    <w:lvl w:ilvl="8">
      <w:start w:val="1"/>
      <w:numFmt w:val="decimal"/>
      <w:lvlText w:val="%1.%2.%3.%4.%5.%6.%7.%8.%9."/>
      <w:lvlJc w:val="left"/>
      <w:pPr>
        <w:ind w:left="4992" w:hanging="2160"/>
      </w:pPr>
    </w:lvl>
  </w:abstractNum>
  <w:abstractNum w:abstractNumId="40">
    <w:nsid w:val="71686572"/>
    <w:multiLevelType w:val="hybridMultilevel"/>
    <w:tmpl w:val="207233B2"/>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1">
    <w:nsid w:val="778B6938"/>
    <w:multiLevelType w:val="hybridMultilevel"/>
    <w:tmpl w:val="A06CE6FC"/>
    <w:lvl w:ilvl="0" w:tplc="5BECC250">
      <w:start w:val="3"/>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B38578E"/>
    <w:multiLevelType w:val="multilevel"/>
    <w:tmpl w:val="33FEF98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3">
    <w:nsid w:val="7DBF5D0F"/>
    <w:multiLevelType w:val="hybridMultilevel"/>
    <w:tmpl w:val="B60A306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7E606F0F"/>
    <w:multiLevelType w:val="hybridMultilevel"/>
    <w:tmpl w:val="DF6E3700"/>
    <w:lvl w:ilvl="0" w:tplc="B11E5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7F28643E"/>
    <w:multiLevelType w:val="hybridMultilevel"/>
    <w:tmpl w:val="EEF48D1C"/>
    <w:lvl w:ilvl="0" w:tplc="848A19AC">
      <w:start w:val="1"/>
      <w:numFmt w:val="bullet"/>
      <w:lvlText w:val=""/>
      <w:lvlJc w:val="left"/>
      <w:pPr>
        <w:ind w:left="1854" w:hanging="360"/>
      </w:pPr>
      <w:rPr>
        <w:rFonts w:ascii="Symbol" w:hAnsi="Symbol"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num w:numId="1">
    <w:abstractNumId w:val="13"/>
  </w:num>
  <w:num w:numId="2">
    <w:abstractNumId w:val="1"/>
  </w:num>
  <w:num w:numId="3">
    <w:abstractNumId w:val="44"/>
  </w:num>
  <w:num w:numId="4">
    <w:abstractNumId w:val="32"/>
  </w:num>
  <w:num w:numId="5">
    <w:abstractNumId w:val="19"/>
  </w:num>
  <w:num w:numId="6">
    <w:abstractNumId w:val="31"/>
  </w:num>
  <w:num w:numId="7">
    <w:abstractNumId w:val="14"/>
  </w:num>
  <w:num w:numId="8">
    <w:abstractNumId w:val="42"/>
  </w:num>
  <w:num w:numId="9">
    <w:abstractNumId w:val="2"/>
  </w:num>
  <w:num w:numId="10">
    <w:abstractNumId w:val="15"/>
  </w:num>
  <w:num w:numId="11">
    <w:abstractNumId w:val="30"/>
  </w:num>
  <w:num w:numId="12">
    <w:abstractNumId w:val="23"/>
  </w:num>
  <w:num w:numId="13">
    <w:abstractNumId w:val="35"/>
  </w:num>
  <w:num w:numId="14">
    <w:abstractNumId w:val="7"/>
  </w:num>
  <w:num w:numId="15">
    <w:abstractNumId w:val="8"/>
  </w:num>
  <w:num w:numId="16">
    <w:abstractNumId w:val="22"/>
  </w:num>
  <w:num w:numId="17">
    <w:abstractNumId w:val="3"/>
  </w:num>
  <w:num w:numId="18">
    <w:abstractNumId w:val="5"/>
  </w:num>
  <w:num w:numId="19">
    <w:abstractNumId w:val="29"/>
  </w:num>
  <w:num w:numId="20">
    <w:abstractNumId w:val="25"/>
  </w:num>
  <w:num w:numId="21">
    <w:abstractNumId w:val="12"/>
  </w:num>
  <w:num w:numId="22">
    <w:abstractNumId w:val="28"/>
  </w:num>
  <w:num w:numId="23">
    <w:abstractNumId w:val="9"/>
  </w:num>
  <w:num w:numId="24">
    <w:abstractNumId w:val="41"/>
  </w:num>
  <w:num w:numId="25">
    <w:abstractNumId w:val="20"/>
  </w:num>
  <w:num w:numId="26">
    <w:abstractNumId w:val="21"/>
  </w:num>
  <w:num w:numId="27">
    <w:abstractNumId w:val="11"/>
  </w:num>
  <w:num w:numId="28">
    <w:abstractNumId w:val="24"/>
  </w:num>
  <w:num w:numId="29">
    <w:abstractNumId w:val="27"/>
  </w:num>
  <w:num w:numId="30">
    <w:abstractNumId w:val="0"/>
  </w:num>
  <w:num w:numId="31">
    <w:abstractNumId w:val="40"/>
  </w:num>
  <w:num w:numId="32">
    <w:abstractNumId w:val="33"/>
    <w:lvlOverride w:ilvl="0">
      <w:startOverride w:val="5"/>
    </w:lvlOverride>
    <w:lvlOverride w:ilvl="1">
      <w:startOverride w:val="2"/>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9"/>
    <w:lvlOverride w:ilvl="0">
      <w:startOverride w:val="5"/>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num>
  <w:num w:numId="35">
    <w:abstractNumId w:val="37"/>
  </w:num>
  <w:num w:numId="36">
    <w:abstractNumId w:val="43"/>
  </w:num>
  <w:num w:numId="37">
    <w:abstractNumId w:val="26"/>
  </w:num>
  <w:num w:numId="3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7"/>
    <w:lvlOverride w:ilvl="0">
      <w:startOverride w:val="7"/>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6"/>
  </w:num>
  <w:num w:numId="41">
    <w:abstractNumId w:val="16"/>
  </w:num>
  <w:num w:numId="42">
    <w:abstractNumId w:val="34"/>
  </w:num>
  <w:num w:numId="43">
    <w:abstractNumId w:val="10"/>
  </w:num>
  <w:num w:numId="44">
    <w:abstractNumId w:val="45"/>
  </w:num>
  <w:num w:numId="4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0"/>
  </w:num>
  <w:num w:numId="47">
    <w:abstractNumId w:val="6"/>
  </w:num>
  <w:num w:numId="48">
    <w:abstractNumId w:val="38"/>
  </w:num>
  <w:num w:numId="49">
    <w:abstractNumId w:val="10"/>
  </w:num>
  <w:num w:numId="50">
    <w:abstractNumId w:val="45"/>
  </w:num>
  <w:num w:numId="51">
    <w:abstractNumId w:val="44"/>
  </w:num>
  <w:num w:numId="52">
    <w:abstractNumId w:val="38"/>
  </w:num>
  <w:num w:numId="53">
    <w:abstractNumId w:val="32"/>
  </w:num>
  <w:num w:numId="54">
    <w:abstractNumId w:val="1"/>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9A8"/>
    <w:rsid w:val="00001116"/>
    <w:rsid w:val="000019BC"/>
    <w:rsid w:val="00005247"/>
    <w:rsid w:val="000053B2"/>
    <w:rsid w:val="000061CA"/>
    <w:rsid w:val="000068D6"/>
    <w:rsid w:val="00007002"/>
    <w:rsid w:val="00007574"/>
    <w:rsid w:val="00013292"/>
    <w:rsid w:val="00021811"/>
    <w:rsid w:val="00022C58"/>
    <w:rsid w:val="00023753"/>
    <w:rsid w:val="000319CF"/>
    <w:rsid w:val="00033075"/>
    <w:rsid w:val="0003339B"/>
    <w:rsid w:val="000338AB"/>
    <w:rsid w:val="00035701"/>
    <w:rsid w:val="00040C9E"/>
    <w:rsid w:val="00041CEA"/>
    <w:rsid w:val="00041DA1"/>
    <w:rsid w:val="00044EF5"/>
    <w:rsid w:val="000453E2"/>
    <w:rsid w:val="00046309"/>
    <w:rsid w:val="00046E1C"/>
    <w:rsid w:val="00052113"/>
    <w:rsid w:val="000526A1"/>
    <w:rsid w:val="00052E97"/>
    <w:rsid w:val="00053410"/>
    <w:rsid w:val="00057D48"/>
    <w:rsid w:val="00061AA8"/>
    <w:rsid w:val="0006328F"/>
    <w:rsid w:val="00063D34"/>
    <w:rsid w:val="00064EF7"/>
    <w:rsid w:val="0006519C"/>
    <w:rsid w:val="000678D8"/>
    <w:rsid w:val="00072D07"/>
    <w:rsid w:val="00072D88"/>
    <w:rsid w:val="00074A85"/>
    <w:rsid w:val="00074F67"/>
    <w:rsid w:val="00076E5B"/>
    <w:rsid w:val="000775A6"/>
    <w:rsid w:val="00077DDF"/>
    <w:rsid w:val="00080F59"/>
    <w:rsid w:val="000815D7"/>
    <w:rsid w:val="00082D6C"/>
    <w:rsid w:val="00084121"/>
    <w:rsid w:val="00084DBD"/>
    <w:rsid w:val="00084FD4"/>
    <w:rsid w:val="00086D80"/>
    <w:rsid w:val="00087646"/>
    <w:rsid w:val="000914E1"/>
    <w:rsid w:val="00091837"/>
    <w:rsid w:val="0009244F"/>
    <w:rsid w:val="00093D62"/>
    <w:rsid w:val="00095691"/>
    <w:rsid w:val="00095985"/>
    <w:rsid w:val="00095B39"/>
    <w:rsid w:val="00095BEB"/>
    <w:rsid w:val="000A0C04"/>
    <w:rsid w:val="000A196D"/>
    <w:rsid w:val="000A1C3D"/>
    <w:rsid w:val="000A2E25"/>
    <w:rsid w:val="000A330E"/>
    <w:rsid w:val="000A4EFD"/>
    <w:rsid w:val="000A530D"/>
    <w:rsid w:val="000A5A91"/>
    <w:rsid w:val="000A77AC"/>
    <w:rsid w:val="000B1525"/>
    <w:rsid w:val="000B1C9F"/>
    <w:rsid w:val="000B2216"/>
    <w:rsid w:val="000B27F1"/>
    <w:rsid w:val="000B60D0"/>
    <w:rsid w:val="000B6D03"/>
    <w:rsid w:val="000C0284"/>
    <w:rsid w:val="000C23D5"/>
    <w:rsid w:val="000C2786"/>
    <w:rsid w:val="000C38B2"/>
    <w:rsid w:val="000C4E8E"/>
    <w:rsid w:val="000C5027"/>
    <w:rsid w:val="000C530D"/>
    <w:rsid w:val="000C664D"/>
    <w:rsid w:val="000C6DC3"/>
    <w:rsid w:val="000C764C"/>
    <w:rsid w:val="000D1B03"/>
    <w:rsid w:val="000D281F"/>
    <w:rsid w:val="000D2B76"/>
    <w:rsid w:val="000D2E8E"/>
    <w:rsid w:val="000D334C"/>
    <w:rsid w:val="000D3868"/>
    <w:rsid w:val="000D4703"/>
    <w:rsid w:val="000E1DBF"/>
    <w:rsid w:val="000E4830"/>
    <w:rsid w:val="000F0644"/>
    <w:rsid w:val="000F2004"/>
    <w:rsid w:val="000F2831"/>
    <w:rsid w:val="000F351D"/>
    <w:rsid w:val="000F4F36"/>
    <w:rsid w:val="000F5439"/>
    <w:rsid w:val="001020B9"/>
    <w:rsid w:val="0010358D"/>
    <w:rsid w:val="00105F54"/>
    <w:rsid w:val="0010758E"/>
    <w:rsid w:val="0011060A"/>
    <w:rsid w:val="00114EE5"/>
    <w:rsid w:val="00116943"/>
    <w:rsid w:val="00117116"/>
    <w:rsid w:val="00117406"/>
    <w:rsid w:val="001178CB"/>
    <w:rsid w:val="00117ACD"/>
    <w:rsid w:val="00120387"/>
    <w:rsid w:val="00120AF7"/>
    <w:rsid w:val="00121F7E"/>
    <w:rsid w:val="001222F7"/>
    <w:rsid w:val="001229DC"/>
    <w:rsid w:val="0012551C"/>
    <w:rsid w:val="0012626C"/>
    <w:rsid w:val="001269AF"/>
    <w:rsid w:val="00131AFE"/>
    <w:rsid w:val="00132C94"/>
    <w:rsid w:val="0013350E"/>
    <w:rsid w:val="00135392"/>
    <w:rsid w:val="00135AF2"/>
    <w:rsid w:val="00136A0B"/>
    <w:rsid w:val="0014222E"/>
    <w:rsid w:val="001425E3"/>
    <w:rsid w:val="00143E72"/>
    <w:rsid w:val="00144077"/>
    <w:rsid w:val="0014448B"/>
    <w:rsid w:val="00144A02"/>
    <w:rsid w:val="00145C35"/>
    <w:rsid w:val="00151576"/>
    <w:rsid w:val="00151AE1"/>
    <w:rsid w:val="00151BFF"/>
    <w:rsid w:val="00152CAF"/>
    <w:rsid w:val="00154FAB"/>
    <w:rsid w:val="00155AA1"/>
    <w:rsid w:val="00155E86"/>
    <w:rsid w:val="0016134A"/>
    <w:rsid w:val="001619A8"/>
    <w:rsid w:val="001639F9"/>
    <w:rsid w:val="00165384"/>
    <w:rsid w:val="00173DDE"/>
    <w:rsid w:val="00175A24"/>
    <w:rsid w:val="00175BE0"/>
    <w:rsid w:val="00176D83"/>
    <w:rsid w:val="00177F99"/>
    <w:rsid w:val="00182507"/>
    <w:rsid w:val="00184DA1"/>
    <w:rsid w:val="00192A17"/>
    <w:rsid w:val="00196871"/>
    <w:rsid w:val="001A1583"/>
    <w:rsid w:val="001A3F97"/>
    <w:rsid w:val="001A4A5B"/>
    <w:rsid w:val="001A5D99"/>
    <w:rsid w:val="001A6224"/>
    <w:rsid w:val="001A6757"/>
    <w:rsid w:val="001B3D86"/>
    <w:rsid w:val="001B4766"/>
    <w:rsid w:val="001B4C14"/>
    <w:rsid w:val="001B5B1D"/>
    <w:rsid w:val="001B5EA1"/>
    <w:rsid w:val="001C0123"/>
    <w:rsid w:val="001C09CA"/>
    <w:rsid w:val="001C0CCC"/>
    <w:rsid w:val="001C0F2F"/>
    <w:rsid w:val="001C3E1C"/>
    <w:rsid w:val="001C41F4"/>
    <w:rsid w:val="001C5B66"/>
    <w:rsid w:val="001C652B"/>
    <w:rsid w:val="001D1B85"/>
    <w:rsid w:val="001D2DA2"/>
    <w:rsid w:val="001D35E8"/>
    <w:rsid w:val="001D4B6E"/>
    <w:rsid w:val="001D5351"/>
    <w:rsid w:val="001D7BB2"/>
    <w:rsid w:val="001E0015"/>
    <w:rsid w:val="001E0AB6"/>
    <w:rsid w:val="001E25AF"/>
    <w:rsid w:val="001E27A2"/>
    <w:rsid w:val="001E35E1"/>
    <w:rsid w:val="001E3A43"/>
    <w:rsid w:val="001F0898"/>
    <w:rsid w:val="001F21E9"/>
    <w:rsid w:val="001F2440"/>
    <w:rsid w:val="001F3011"/>
    <w:rsid w:val="001F480D"/>
    <w:rsid w:val="001F53D1"/>
    <w:rsid w:val="001F5432"/>
    <w:rsid w:val="001F7B7E"/>
    <w:rsid w:val="002027F6"/>
    <w:rsid w:val="00203472"/>
    <w:rsid w:val="00211DD7"/>
    <w:rsid w:val="0021202E"/>
    <w:rsid w:val="002129DF"/>
    <w:rsid w:val="00213EAE"/>
    <w:rsid w:val="00214934"/>
    <w:rsid w:val="0021524E"/>
    <w:rsid w:val="00217A72"/>
    <w:rsid w:val="00230DF1"/>
    <w:rsid w:val="0023267A"/>
    <w:rsid w:val="00232B48"/>
    <w:rsid w:val="0023504F"/>
    <w:rsid w:val="00235118"/>
    <w:rsid w:val="002374EA"/>
    <w:rsid w:val="0023769A"/>
    <w:rsid w:val="0024102B"/>
    <w:rsid w:val="00242ABA"/>
    <w:rsid w:val="0024594B"/>
    <w:rsid w:val="002472A9"/>
    <w:rsid w:val="00247FEF"/>
    <w:rsid w:val="00250631"/>
    <w:rsid w:val="00251AF5"/>
    <w:rsid w:val="00256AA3"/>
    <w:rsid w:val="00257198"/>
    <w:rsid w:val="00260A6A"/>
    <w:rsid w:val="00261799"/>
    <w:rsid w:val="00261A63"/>
    <w:rsid w:val="00262C02"/>
    <w:rsid w:val="00264098"/>
    <w:rsid w:val="00264D7B"/>
    <w:rsid w:val="002651FA"/>
    <w:rsid w:val="002662D7"/>
    <w:rsid w:val="002669E5"/>
    <w:rsid w:val="002746E1"/>
    <w:rsid w:val="00275B00"/>
    <w:rsid w:val="00276FFA"/>
    <w:rsid w:val="00280923"/>
    <w:rsid w:val="00282016"/>
    <w:rsid w:val="00282B95"/>
    <w:rsid w:val="0028483C"/>
    <w:rsid w:val="00285C53"/>
    <w:rsid w:val="002869A0"/>
    <w:rsid w:val="0029043B"/>
    <w:rsid w:val="00291D05"/>
    <w:rsid w:val="002920BB"/>
    <w:rsid w:val="00292E01"/>
    <w:rsid w:val="0029500F"/>
    <w:rsid w:val="00297365"/>
    <w:rsid w:val="002A0E87"/>
    <w:rsid w:val="002A1514"/>
    <w:rsid w:val="002A1808"/>
    <w:rsid w:val="002A29E5"/>
    <w:rsid w:val="002A3830"/>
    <w:rsid w:val="002A51DF"/>
    <w:rsid w:val="002A533B"/>
    <w:rsid w:val="002A559E"/>
    <w:rsid w:val="002A61B8"/>
    <w:rsid w:val="002B31D3"/>
    <w:rsid w:val="002B6504"/>
    <w:rsid w:val="002C09F5"/>
    <w:rsid w:val="002C3F7B"/>
    <w:rsid w:val="002C40EA"/>
    <w:rsid w:val="002C4291"/>
    <w:rsid w:val="002C75EA"/>
    <w:rsid w:val="002C7690"/>
    <w:rsid w:val="002D03A9"/>
    <w:rsid w:val="002D3295"/>
    <w:rsid w:val="002D593E"/>
    <w:rsid w:val="002D5E4A"/>
    <w:rsid w:val="002E05E3"/>
    <w:rsid w:val="002E0C7E"/>
    <w:rsid w:val="002E1F62"/>
    <w:rsid w:val="002E3B02"/>
    <w:rsid w:val="002E46A8"/>
    <w:rsid w:val="002F0AE0"/>
    <w:rsid w:val="002F0D9D"/>
    <w:rsid w:val="002F145A"/>
    <w:rsid w:val="002F2EE5"/>
    <w:rsid w:val="002F66B9"/>
    <w:rsid w:val="002F7A29"/>
    <w:rsid w:val="00300BB4"/>
    <w:rsid w:val="003028AA"/>
    <w:rsid w:val="00303782"/>
    <w:rsid w:val="003056D2"/>
    <w:rsid w:val="00305BD9"/>
    <w:rsid w:val="00307A75"/>
    <w:rsid w:val="00311AF0"/>
    <w:rsid w:val="003124D9"/>
    <w:rsid w:val="00312D75"/>
    <w:rsid w:val="00313BBB"/>
    <w:rsid w:val="003146D9"/>
    <w:rsid w:val="00320515"/>
    <w:rsid w:val="003270B6"/>
    <w:rsid w:val="003305F7"/>
    <w:rsid w:val="00330FE9"/>
    <w:rsid w:val="00333A48"/>
    <w:rsid w:val="00334402"/>
    <w:rsid w:val="00334585"/>
    <w:rsid w:val="00334C62"/>
    <w:rsid w:val="00344BDD"/>
    <w:rsid w:val="00346B59"/>
    <w:rsid w:val="003511AD"/>
    <w:rsid w:val="003525C6"/>
    <w:rsid w:val="003549D8"/>
    <w:rsid w:val="00356FB6"/>
    <w:rsid w:val="00361C36"/>
    <w:rsid w:val="00370F23"/>
    <w:rsid w:val="00372AC1"/>
    <w:rsid w:val="00372F85"/>
    <w:rsid w:val="003732CB"/>
    <w:rsid w:val="0037407D"/>
    <w:rsid w:val="00374383"/>
    <w:rsid w:val="0037516F"/>
    <w:rsid w:val="00376552"/>
    <w:rsid w:val="003777B5"/>
    <w:rsid w:val="00384539"/>
    <w:rsid w:val="003866E2"/>
    <w:rsid w:val="003872EA"/>
    <w:rsid w:val="0038774B"/>
    <w:rsid w:val="003900C2"/>
    <w:rsid w:val="0039048A"/>
    <w:rsid w:val="003905FC"/>
    <w:rsid w:val="00390610"/>
    <w:rsid w:val="00390F74"/>
    <w:rsid w:val="003916AE"/>
    <w:rsid w:val="0039171C"/>
    <w:rsid w:val="00395988"/>
    <w:rsid w:val="00396190"/>
    <w:rsid w:val="0039669A"/>
    <w:rsid w:val="003A1BF5"/>
    <w:rsid w:val="003A20DF"/>
    <w:rsid w:val="003A2543"/>
    <w:rsid w:val="003A27A4"/>
    <w:rsid w:val="003A43E9"/>
    <w:rsid w:val="003A78E5"/>
    <w:rsid w:val="003A79DF"/>
    <w:rsid w:val="003B147C"/>
    <w:rsid w:val="003B157F"/>
    <w:rsid w:val="003B3360"/>
    <w:rsid w:val="003B344A"/>
    <w:rsid w:val="003B3672"/>
    <w:rsid w:val="003C007F"/>
    <w:rsid w:val="003C367A"/>
    <w:rsid w:val="003D0CF7"/>
    <w:rsid w:val="003D1B87"/>
    <w:rsid w:val="003D3D5B"/>
    <w:rsid w:val="003D4F14"/>
    <w:rsid w:val="003D7D2E"/>
    <w:rsid w:val="003E0019"/>
    <w:rsid w:val="003E5C22"/>
    <w:rsid w:val="003F1C32"/>
    <w:rsid w:val="003F4944"/>
    <w:rsid w:val="003F5270"/>
    <w:rsid w:val="004014E5"/>
    <w:rsid w:val="00405585"/>
    <w:rsid w:val="004057CE"/>
    <w:rsid w:val="00406090"/>
    <w:rsid w:val="0040711A"/>
    <w:rsid w:val="00407DFB"/>
    <w:rsid w:val="00413A84"/>
    <w:rsid w:val="00413DB9"/>
    <w:rsid w:val="004140DA"/>
    <w:rsid w:val="00416806"/>
    <w:rsid w:val="00421B74"/>
    <w:rsid w:val="004242F3"/>
    <w:rsid w:val="00424747"/>
    <w:rsid w:val="00424DB2"/>
    <w:rsid w:val="0042636F"/>
    <w:rsid w:val="004265E5"/>
    <w:rsid w:val="00430481"/>
    <w:rsid w:val="00432A93"/>
    <w:rsid w:val="00434CEB"/>
    <w:rsid w:val="00435098"/>
    <w:rsid w:val="00435431"/>
    <w:rsid w:val="00436AF5"/>
    <w:rsid w:val="0044106B"/>
    <w:rsid w:val="00441369"/>
    <w:rsid w:val="00443538"/>
    <w:rsid w:val="004462F2"/>
    <w:rsid w:val="004464EE"/>
    <w:rsid w:val="00451282"/>
    <w:rsid w:val="00451FE1"/>
    <w:rsid w:val="00453AAA"/>
    <w:rsid w:val="0045413F"/>
    <w:rsid w:val="00455D64"/>
    <w:rsid w:val="00455F90"/>
    <w:rsid w:val="0045603A"/>
    <w:rsid w:val="00456A34"/>
    <w:rsid w:val="004578A0"/>
    <w:rsid w:val="00461315"/>
    <w:rsid w:val="00461A8A"/>
    <w:rsid w:val="004642D0"/>
    <w:rsid w:val="00464455"/>
    <w:rsid w:val="004657EB"/>
    <w:rsid w:val="004668EF"/>
    <w:rsid w:val="0047230D"/>
    <w:rsid w:val="00472E3C"/>
    <w:rsid w:val="004736F7"/>
    <w:rsid w:val="004754EB"/>
    <w:rsid w:val="00477046"/>
    <w:rsid w:val="004778B9"/>
    <w:rsid w:val="00477DBF"/>
    <w:rsid w:val="004803E0"/>
    <w:rsid w:val="0048151A"/>
    <w:rsid w:val="00481816"/>
    <w:rsid w:val="00486700"/>
    <w:rsid w:val="0048756D"/>
    <w:rsid w:val="00491AA0"/>
    <w:rsid w:val="00494149"/>
    <w:rsid w:val="00495E21"/>
    <w:rsid w:val="004A15BD"/>
    <w:rsid w:val="004A1E12"/>
    <w:rsid w:val="004A2CD6"/>
    <w:rsid w:val="004A3DC8"/>
    <w:rsid w:val="004A413A"/>
    <w:rsid w:val="004A4746"/>
    <w:rsid w:val="004A4F9D"/>
    <w:rsid w:val="004A6BC6"/>
    <w:rsid w:val="004A72B8"/>
    <w:rsid w:val="004B0B31"/>
    <w:rsid w:val="004B62A8"/>
    <w:rsid w:val="004B7982"/>
    <w:rsid w:val="004C0EB5"/>
    <w:rsid w:val="004C111C"/>
    <w:rsid w:val="004C1F48"/>
    <w:rsid w:val="004C39A9"/>
    <w:rsid w:val="004C492B"/>
    <w:rsid w:val="004C4DB0"/>
    <w:rsid w:val="004C5091"/>
    <w:rsid w:val="004C5F20"/>
    <w:rsid w:val="004C6333"/>
    <w:rsid w:val="004D0FE5"/>
    <w:rsid w:val="004D2203"/>
    <w:rsid w:val="004D3EB0"/>
    <w:rsid w:val="004D500E"/>
    <w:rsid w:val="004D69E5"/>
    <w:rsid w:val="004D78AE"/>
    <w:rsid w:val="004D7E81"/>
    <w:rsid w:val="004E0D10"/>
    <w:rsid w:val="004E12F6"/>
    <w:rsid w:val="004E54E1"/>
    <w:rsid w:val="004E70C8"/>
    <w:rsid w:val="004E7233"/>
    <w:rsid w:val="004E72E7"/>
    <w:rsid w:val="004E730C"/>
    <w:rsid w:val="004E78D1"/>
    <w:rsid w:val="004F2B16"/>
    <w:rsid w:val="004F3749"/>
    <w:rsid w:val="004F492A"/>
    <w:rsid w:val="004F4B3C"/>
    <w:rsid w:val="004F506D"/>
    <w:rsid w:val="004F5E8E"/>
    <w:rsid w:val="004F619B"/>
    <w:rsid w:val="004F6429"/>
    <w:rsid w:val="00500798"/>
    <w:rsid w:val="00501955"/>
    <w:rsid w:val="00506F14"/>
    <w:rsid w:val="0051110A"/>
    <w:rsid w:val="00513114"/>
    <w:rsid w:val="005132FF"/>
    <w:rsid w:val="005213B0"/>
    <w:rsid w:val="0052158B"/>
    <w:rsid w:val="00524199"/>
    <w:rsid w:val="005243F5"/>
    <w:rsid w:val="005264AF"/>
    <w:rsid w:val="00526BF6"/>
    <w:rsid w:val="005273FE"/>
    <w:rsid w:val="00527405"/>
    <w:rsid w:val="0053076F"/>
    <w:rsid w:val="00531F72"/>
    <w:rsid w:val="005326C3"/>
    <w:rsid w:val="0053545B"/>
    <w:rsid w:val="005358F6"/>
    <w:rsid w:val="005359A9"/>
    <w:rsid w:val="00537490"/>
    <w:rsid w:val="0053761B"/>
    <w:rsid w:val="005378D7"/>
    <w:rsid w:val="00541F75"/>
    <w:rsid w:val="00542876"/>
    <w:rsid w:val="0054352F"/>
    <w:rsid w:val="0054405A"/>
    <w:rsid w:val="00544D96"/>
    <w:rsid w:val="005453C5"/>
    <w:rsid w:val="00546021"/>
    <w:rsid w:val="0055239E"/>
    <w:rsid w:val="00554C40"/>
    <w:rsid w:val="00555827"/>
    <w:rsid w:val="005608CD"/>
    <w:rsid w:val="00560A60"/>
    <w:rsid w:val="00560BE3"/>
    <w:rsid w:val="00561655"/>
    <w:rsid w:val="00562DB1"/>
    <w:rsid w:val="00563672"/>
    <w:rsid w:val="00567A36"/>
    <w:rsid w:val="005716A8"/>
    <w:rsid w:val="005735FE"/>
    <w:rsid w:val="005753B4"/>
    <w:rsid w:val="005774F8"/>
    <w:rsid w:val="00580454"/>
    <w:rsid w:val="005837DA"/>
    <w:rsid w:val="005865F7"/>
    <w:rsid w:val="00586619"/>
    <w:rsid w:val="005904E4"/>
    <w:rsid w:val="00593B6A"/>
    <w:rsid w:val="00594069"/>
    <w:rsid w:val="0059440E"/>
    <w:rsid w:val="00596355"/>
    <w:rsid w:val="005971BA"/>
    <w:rsid w:val="005A262C"/>
    <w:rsid w:val="005A2E7E"/>
    <w:rsid w:val="005A3C18"/>
    <w:rsid w:val="005A41AB"/>
    <w:rsid w:val="005B0218"/>
    <w:rsid w:val="005B321D"/>
    <w:rsid w:val="005B4F0F"/>
    <w:rsid w:val="005B5046"/>
    <w:rsid w:val="005B5F79"/>
    <w:rsid w:val="005B7066"/>
    <w:rsid w:val="005B71A8"/>
    <w:rsid w:val="005B757F"/>
    <w:rsid w:val="005B7716"/>
    <w:rsid w:val="005C09E8"/>
    <w:rsid w:val="005C3C43"/>
    <w:rsid w:val="005D5F7C"/>
    <w:rsid w:val="005D653F"/>
    <w:rsid w:val="005D7785"/>
    <w:rsid w:val="005E06FB"/>
    <w:rsid w:val="005E08CC"/>
    <w:rsid w:val="005E203F"/>
    <w:rsid w:val="005E323D"/>
    <w:rsid w:val="005E51D4"/>
    <w:rsid w:val="005E5989"/>
    <w:rsid w:val="005F4211"/>
    <w:rsid w:val="005F4519"/>
    <w:rsid w:val="00600F26"/>
    <w:rsid w:val="00602BA8"/>
    <w:rsid w:val="0060553C"/>
    <w:rsid w:val="0060608F"/>
    <w:rsid w:val="006074C5"/>
    <w:rsid w:val="006107A6"/>
    <w:rsid w:val="006108C8"/>
    <w:rsid w:val="00611244"/>
    <w:rsid w:val="00611F28"/>
    <w:rsid w:val="00612869"/>
    <w:rsid w:val="0061364D"/>
    <w:rsid w:val="006162A4"/>
    <w:rsid w:val="00616AA0"/>
    <w:rsid w:val="00616FB5"/>
    <w:rsid w:val="0061737F"/>
    <w:rsid w:val="00622BEA"/>
    <w:rsid w:val="006249A6"/>
    <w:rsid w:val="0062527D"/>
    <w:rsid w:val="006257D2"/>
    <w:rsid w:val="00630713"/>
    <w:rsid w:val="00631715"/>
    <w:rsid w:val="006323CB"/>
    <w:rsid w:val="0063553E"/>
    <w:rsid w:val="00636674"/>
    <w:rsid w:val="00637932"/>
    <w:rsid w:val="00640F8B"/>
    <w:rsid w:val="006410E5"/>
    <w:rsid w:val="006418A8"/>
    <w:rsid w:val="00642E2A"/>
    <w:rsid w:val="00643091"/>
    <w:rsid w:val="00644F83"/>
    <w:rsid w:val="00647374"/>
    <w:rsid w:val="006474AD"/>
    <w:rsid w:val="006476B0"/>
    <w:rsid w:val="006502E8"/>
    <w:rsid w:val="00650B90"/>
    <w:rsid w:val="0065306A"/>
    <w:rsid w:val="006543FC"/>
    <w:rsid w:val="00656F08"/>
    <w:rsid w:val="00665436"/>
    <w:rsid w:val="00666A85"/>
    <w:rsid w:val="0066794C"/>
    <w:rsid w:val="006702E6"/>
    <w:rsid w:val="00671028"/>
    <w:rsid w:val="00671D86"/>
    <w:rsid w:val="00674685"/>
    <w:rsid w:val="00675DB3"/>
    <w:rsid w:val="00676772"/>
    <w:rsid w:val="0067798D"/>
    <w:rsid w:val="006816BD"/>
    <w:rsid w:val="006826A2"/>
    <w:rsid w:val="00683195"/>
    <w:rsid w:val="00683BB2"/>
    <w:rsid w:val="00685206"/>
    <w:rsid w:val="00686723"/>
    <w:rsid w:val="006872B6"/>
    <w:rsid w:val="006930AB"/>
    <w:rsid w:val="00693C0A"/>
    <w:rsid w:val="00693C1C"/>
    <w:rsid w:val="006951D9"/>
    <w:rsid w:val="00695D8D"/>
    <w:rsid w:val="0069680B"/>
    <w:rsid w:val="006969E4"/>
    <w:rsid w:val="006973A2"/>
    <w:rsid w:val="006974CB"/>
    <w:rsid w:val="006A02D5"/>
    <w:rsid w:val="006A0ACC"/>
    <w:rsid w:val="006A2F30"/>
    <w:rsid w:val="006A3031"/>
    <w:rsid w:val="006A467F"/>
    <w:rsid w:val="006A54E4"/>
    <w:rsid w:val="006A6A6E"/>
    <w:rsid w:val="006B06E4"/>
    <w:rsid w:val="006B102B"/>
    <w:rsid w:val="006B1C66"/>
    <w:rsid w:val="006B2000"/>
    <w:rsid w:val="006B4FD3"/>
    <w:rsid w:val="006B69BD"/>
    <w:rsid w:val="006B7212"/>
    <w:rsid w:val="006B7305"/>
    <w:rsid w:val="006C4FCB"/>
    <w:rsid w:val="006C7B8C"/>
    <w:rsid w:val="006D1D7F"/>
    <w:rsid w:val="006D208B"/>
    <w:rsid w:val="006D2948"/>
    <w:rsid w:val="006D4D0D"/>
    <w:rsid w:val="006D6F41"/>
    <w:rsid w:val="006E350B"/>
    <w:rsid w:val="006E42C2"/>
    <w:rsid w:val="006E4956"/>
    <w:rsid w:val="006E568F"/>
    <w:rsid w:val="006E75F9"/>
    <w:rsid w:val="006E795A"/>
    <w:rsid w:val="006F5530"/>
    <w:rsid w:val="006F577C"/>
    <w:rsid w:val="006F6A44"/>
    <w:rsid w:val="00700344"/>
    <w:rsid w:val="0070063C"/>
    <w:rsid w:val="00700C6C"/>
    <w:rsid w:val="00701EE6"/>
    <w:rsid w:val="0070224D"/>
    <w:rsid w:val="007022C7"/>
    <w:rsid w:val="00705320"/>
    <w:rsid w:val="0070576A"/>
    <w:rsid w:val="007107AD"/>
    <w:rsid w:val="007119E5"/>
    <w:rsid w:val="00712521"/>
    <w:rsid w:val="00712950"/>
    <w:rsid w:val="00713D95"/>
    <w:rsid w:val="00714F94"/>
    <w:rsid w:val="0071554F"/>
    <w:rsid w:val="0071567A"/>
    <w:rsid w:val="00716C9C"/>
    <w:rsid w:val="007202B6"/>
    <w:rsid w:val="00720709"/>
    <w:rsid w:val="00721CAC"/>
    <w:rsid w:val="00722DA4"/>
    <w:rsid w:val="00724529"/>
    <w:rsid w:val="0072508A"/>
    <w:rsid w:val="00726A90"/>
    <w:rsid w:val="00726AFC"/>
    <w:rsid w:val="00730842"/>
    <w:rsid w:val="007343F5"/>
    <w:rsid w:val="0073678D"/>
    <w:rsid w:val="0073736E"/>
    <w:rsid w:val="007373C3"/>
    <w:rsid w:val="007405C7"/>
    <w:rsid w:val="0074112D"/>
    <w:rsid w:val="00742D66"/>
    <w:rsid w:val="00743730"/>
    <w:rsid w:val="00744724"/>
    <w:rsid w:val="00744B9E"/>
    <w:rsid w:val="00747ED4"/>
    <w:rsid w:val="007519F3"/>
    <w:rsid w:val="0075370C"/>
    <w:rsid w:val="00755813"/>
    <w:rsid w:val="00756137"/>
    <w:rsid w:val="0075673B"/>
    <w:rsid w:val="00757BA5"/>
    <w:rsid w:val="00757E8B"/>
    <w:rsid w:val="007607E9"/>
    <w:rsid w:val="00760FBF"/>
    <w:rsid w:val="00761EB0"/>
    <w:rsid w:val="00763B33"/>
    <w:rsid w:val="00763C48"/>
    <w:rsid w:val="00764AD5"/>
    <w:rsid w:val="0076598B"/>
    <w:rsid w:val="0076634D"/>
    <w:rsid w:val="00767A0A"/>
    <w:rsid w:val="00771034"/>
    <w:rsid w:val="00771B62"/>
    <w:rsid w:val="00772ECC"/>
    <w:rsid w:val="0077388C"/>
    <w:rsid w:val="00774233"/>
    <w:rsid w:val="007758D7"/>
    <w:rsid w:val="0077753A"/>
    <w:rsid w:val="00777584"/>
    <w:rsid w:val="00782579"/>
    <w:rsid w:val="00782F1C"/>
    <w:rsid w:val="00784112"/>
    <w:rsid w:val="007857FC"/>
    <w:rsid w:val="007862AB"/>
    <w:rsid w:val="00792043"/>
    <w:rsid w:val="00792709"/>
    <w:rsid w:val="00794F08"/>
    <w:rsid w:val="007954E8"/>
    <w:rsid w:val="007A00FA"/>
    <w:rsid w:val="007A06B0"/>
    <w:rsid w:val="007A0B3D"/>
    <w:rsid w:val="007A1C58"/>
    <w:rsid w:val="007A1DD1"/>
    <w:rsid w:val="007A3B3B"/>
    <w:rsid w:val="007A5784"/>
    <w:rsid w:val="007A657F"/>
    <w:rsid w:val="007B1672"/>
    <w:rsid w:val="007B1EF2"/>
    <w:rsid w:val="007B28E5"/>
    <w:rsid w:val="007B4443"/>
    <w:rsid w:val="007B51C2"/>
    <w:rsid w:val="007B6C08"/>
    <w:rsid w:val="007C1B04"/>
    <w:rsid w:val="007C3D04"/>
    <w:rsid w:val="007C4195"/>
    <w:rsid w:val="007C58B7"/>
    <w:rsid w:val="007C7B56"/>
    <w:rsid w:val="007D2CA2"/>
    <w:rsid w:val="007D3090"/>
    <w:rsid w:val="007D5228"/>
    <w:rsid w:val="007D6C36"/>
    <w:rsid w:val="007E0C16"/>
    <w:rsid w:val="007E2E94"/>
    <w:rsid w:val="007E3C89"/>
    <w:rsid w:val="007E531F"/>
    <w:rsid w:val="007E71D4"/>
    <w:rsid w:val="007E7C54"/>
    <w:rsid w:val="007F0125"/>
    <w:rsid w:val="007F04CA"/>
    <w:rsid w:val="007F43D6"/>
    <w:rsid w:val="007F4E0F"/>
    <w:rsid w:val="007F572D"/>
    <w:rsid w:val="007F59AE"/>
    <w:rsid w:val="007F5AF5"/>
    <w:rsid w:val="007F6A84"/>
    <w:rsid w:val="007F6DBF"/>
    <w:rsid w:val="007F7877"/>
    <w:rsid w:val="0080095F"/>
    <w:rsid w:val="0080236C"/>
    <w:rsid w:val="008058BE"/>
    <w:rsid w:val="00811492"/>
    <w:rsid w:val="00811A83"/>
    <w:rsid w:val="008121F8"/>
    <w:rsid w:val="008127D6"/>
    <w:rsid w:val="0081293A"/>
    <w:rsid w:val="00812B4E"/>
    <w:rsid w:val="00814D61"/>
    <w:rsid w:val="008159D2"/>
    <w:rsid w:val="00815F95"/>
    <w:rsid w:val="0082079B"/>
    <w:rsid w:val="00820B6B"/>
    <w:rsid w:val="008223B1"/>
    <w:rsid w:val="00822A80"/>
    <w:rsid w:val="00822D79"/>
    <w:rsid w:val="0082600D"/>
    <w:rsid w:val="00826437"/>
    <w:rsid w:val="0083218D"/>
    <w:rsid w:val="00833AD2"/>
    <w:rsid w:val="00834380"/>
    <w:rsid w:val="00836161"/>
    <w:rsid w:val="00836580"/>
    <w:rsid w:val="00837655"/>
    <w:rsid w:val="00841EBB"/>
    <w:rsid w:val="0084316E"/>
    <w:rsid w:val="00843CAD"/>
    <w:rsid w:val="00844729"/>
    <w:rsid w:val="00844BFC"/>
    <w:rsid w:val="008503AF"/>
    <w:rsid w:val="00851A5D"/>
    <w:rsid w:val="00852DD6"/>
    <w:rsid w:val="00857934"/>
    <w:rsid w:val="00860C6B"/>
    <w:rsid w:val="008618C5"/>
    <w:rsid w:val="008641C2"/>
    <w:rsid w:val="0086682F"/>
    <w:rsid w:val="0086711A"/>
    <w:rsid w:val="00867DAC"/>
    <w:rsid w:val="008700EB"/>
    <w:rsid w:val="00871545"/>
    <w:rsid w:val="00875325"/>
    <w:rsid w:val="00875CC9"/>
    <w:rsid w:val="0087656F"/>
    <w:rsid w:val="00876D1C"/>
    <w:rsid w:val="00877BBE"/>
    <w:rsid w:val="00881922"/>
    <w:rsid w:val="00882079"/>
    <w:rsid w:val="00882A4D"/>
    <w:rsid w:val="00883B39"/>
    <w:rsid w:val="008845BF"/>
    <w:rsid w:val="008846E3"/>
    <w:rsid w:val="00885553"/>
    <w:rsid w:val="0088569D"/>
    <w:rsid w:val="00885800"/>
    <w:rsid w:val="00886013"/>
    <w:rsid w:val="00886289"/>
    <w:rsid w:val="0088661F"/>
    <w:rsid w:val="00886CA5"/>
    <w:rsid w:val="008871E5"/>
    <w:rsid w:val="008875C1"/>
    <w:rsid w:val="00890614"/>
    <w:rsid w:val="00890E1D"/>
    <w:rsid w:val="00893B03"/>
    <w:rsid w:val="00894425"/>
    <w:rsid w:val="00896494"/>
    <w:rsid w:val="00896998"/>
    <w:rsid w:val="00897F1D"/>
    <w:rsid w:val="008A59F4"/>
    <w:rsid w:val="008A772D"/>
    <w:rsid w:val="008B00FD"/>
    <w:rsid w:val="008B697F"/>
    <w:rsid w:val="008B6CD5"/>
    <w:rsid w:val="008B6D61"/>
    <w:rsid w:val="008C0296"/>
    <w:rsid w:val="008C084A"/>
    <w:rsid w:val="008C15B5"/>
    <w:rsid w:val="008C54A6"/>
    <w:rsid w:val="008C5587"/>
    <w:rsid w:val="008C68CF"/>
    <w:rsid w:val="008D1F00"/>
    <w:rsid w:val="008D2C26"/>
    <w:rsid w:val="008D344B"/>
    <w:rsid w:val="008D50F2"/>
    <w:rsid w:val="008D5209"/>
    <w:rsid w:val="008D63F7"/>
    <w:rsid w:val="008D7D56"/>
    <w:rsid w:val="008E2D65"/>
    <w:rsid w:val="008E516B"/>
    <w:rsid w:val="008E643B"/>
    <w:rsid w:val="008E649A"/>
    <w:rsid w:val="008E65FF"/>
    <w:rsid w:val="008E70A6"/>
    <w:rsid w:val="008F074B"/>
    <w:rsid w:val="008F12C3"/>
    <w:rsid w:val="008F143F"/>
    <w:rsid w:val="008F2278"/>
    <w:rsid w:val="008F69FF"/>
    <w:rsid w:val="008F6ABE"/>
    <w:rsid w:val="008F6FB7"/>
    <w:rsid w:val="00900BEE"/>
    <w:rsid w:val="00903E48"/>
    <w:rsid w:val="00904A55"/>
    <w:rsid w:val="009052D9"/>
    <w:rsid w:val="00906255"/>
    <w:rsid w:val="0091045E"/>
    <w:rsid w:val="00910766"/>
    <w:rsid w:val="00911DAA"/>
    <w:rsid w:val="00911E9B"/>
    <w:rsid w:val="009151B2"/>
    <w:rsid w:val="00915512"/>
    <w:rsid w:val="00916D7A"/>
    <w:rsid w:val="00916E02"/>
    <w:rsid w:val="00923614"/>
    <w:rsid w:val="0092397F"/>
    <w:rsid w:val="00923AA5"/>
    <w:rsid w:val="00925CFD"/>
    <w:rsid w:val="00926861"/>
    <w:rsid w:val="0093257D"/>
    <w:rsid w:val="00934E92"/>
    <w:rsid w:val="00937C17"/>
    <w:rsid w:val="009461EF"/>
    <w:rsid w:val="00946DFC"/>
    <w:rsid w:val="00946FF8"/>
    <w:rsid w:val="00947BC7"/>
    <w:rsid w:val="00951147"/>
    <w:rsid w:val="00953F92"/>
    <w:rsid w:val="0095562C"/>
    <w:rsid w:val="00956851"/>
    <w:rsid w:val="009571E9"/>
    <w:rsid w:val="00957789"/>
    <w:rsid w:val="00960973"/>
    <w:rsid w:val="00961FD7"/>
    <w:rsid w:val="00964110"/>
    <w:rsid w:val="00967BDC"/>
    <w:rsid w:val="00970FC2"/>
    <w:rsid w:val="00974B24"/>
    <w:rsid w:val="009754A8"/>
    <w:rsid w:val="00982224"/>
    <w:rsid w:val="00984020"/>
    <w:rsid w:val="0098499A"/>
    <w:rsid w:val="009856CB"/>
    <w:rsid w:val="00986BF8"/>
    <w:rsid w:val="00990D0A"/>
    <w:rsid w:val="009916B5"/>
    <w:rsid w:val="00995A08"/>
    <w:rsid w:val="009A022D"/>
    <w:rsid w:val="009A1E4C"/>
    <w:rsid w:val="009A463B"/>
    <w:rsid w:val="009A51A0"/>
    <w:rsid w:val="009A572A"/>
    <w:rsid w:val="009A5BBC"/>
    <w:rsid w:val="009A62D2"/>
    <w:rsid w:val="009A7595"/>
    <w:rsid w:val="009A7A52"/>
    <w:rsid w:val="009B0337"/>
    <w:rsid w:val="009B11EE"/>
    <w:rsid w:val="009B12ED"/>
    <w:rsid w:val="009B1A90"/>
    <w:rsid w:val="009B4222"/>
    <w:rsid w:val="009B44B4"/>
    <w:rsid w:val="009B4660"/>
    <w:rsid w:val="009C169F"/>
    <w:rsid w:val="009C1968"/>
    <w:rsid w:val="009C246C"/>
    <w:rsid w:val="009C2908"/>
    <w:rsid w:val="009C3041"/>
    <w:rsid w:val="009C4182"/>
    <w:rsid w:val="009C45CC"/>
    <w:rsid w:val="009C4EA9"/>
    <w:rsid w:val="009D1FB2"/>
    <w:rsid w:val="009D4818"/>
    <w:rsid w:val="009D4D9D"/>
    <w:rsid w:val="009D4EE6"/>
    <w:rsid w:val="009D5388"/>
    <w:rsid w:val="009D6A14"/>
    <w:rsid w:val="009D7489"/>
    <w:rsid w:val="009E11D8"/>
    <w:rsid w:val="009E609D"/>
    <w:rsid w:val="009E6B82"/>
    <w:rsid w:val="009F00D1"/>
    <w:rsid w:val="009F3376"/>
    <w:rsid w:val="009F4C96"/>
    <w:rsid w:val="00A02299"/>
    <w:rsid w:val="00A02E9E"/>
    <w:rsid w:val="00A05C87"/>
    <w:rsid w:val="00A10181"/>
    <w:rsid w:val="00A11791"/>
    <w:rsid w:val="00A14E6D"/>
    <w:rsid w:val="00A176D5"/>
    <w:rsid w:val="00A204FD"/>
    <w:rsid w:val="00A229AD"/>
    <w:rsid w:val="00A23521"/>
    <w:rsid w:val="00A2566B"/>
    <w:rsid w:val="00A26ACC"/>
    <w:rsid w:val="00A34051"/>
    <w:rsid w:val="00A3739D"/>
    <w:rsid w:val="00A413F6"/>
    <w:rsid w:val="00A41BB2"/>
    <w:rsid w:val="00A42AE2"/>
    <w:rsid w:val="00A4346F"/>
    <w:rsid w:val="00A44F54"/>
    <w:rsid w:val="00A458EA"/>
    <w:rsid w:val="00A466DD"/>
    <w:rsid w:val="00A470DC"/>
    <w:rsid w:val="00A51013"/>
    <w:rsid w:val="00A51793"/>
    <w:rsid w:val="00A51E86"/>
    <w:rsid w:val="00A52148"/>
    <w:rsid w:val="00A54DC9"/>
    <w:rsid w:val="00A57BBF"/>
    <w:rsid w:val="00A637E2"/>
    <w:rsid w:val="00A64B49"/>
    <w:rsid w:val="00A64F7F"/>
    <w:rsid w:val="00A65C1F"/>
    <w:rsid w:val="00A6698C"/>
    <w:rsid w:val="00A670F1"/>
    <w:rsid w:val="00A67CF4"/>
    <w:rsid w:val="00A70997"/>
    <w:rsid w:val="00A72F45"/>
    <w:rsid w:val="00A73B7C"/>
    <w:rsid w:val="00A76833"/>
    <w:rsid w:val="00A77221"/>
    <w:rsid w:val="00A80D35"/>
    <w:rsid w:val="00A82085"/>
    <w:rsid w:val="00A82B33"/>
    <w:rsid w:val="00A82C30"/>
    <w:rsid w:val="00A84128"/>
    <w:rsid w:val="00A939FA"/>
    <w:rsid w:val="00A9619E"/>
    <w:rsid w:val="00AA182F"/>
    <w:rsid w:val="00AA2408"/>
    <w:rsid w:val="00AA305C"/>
    <w:rsid w:val="00AA544B"/>
    <w:rsid w:val="00AA5642"/>
    <w:rsid w:val="00AA75C5"/>
    <w:rsid w:val="00AA7E68"/>
    <w:rsid w:val="00AB5028"/>
    <w:rsid w:val="00AB53F2"/>
    <w:rsid w:val="00AC0499"/>
    <w:rsid w:val="00AC1E8C"/>
    <w:rsid w:val="00AC4FBB"/>
    <w:rsid w:val="00AD1231"/>
    <w:rsid w:val="00AD1F84"/>
    <w:rsid w:val="00AD2DE0"/>
    <w:rsid w:val="00AD66ED"/>
    <w:rsid w:val="00AE0E97"/>
    <w:rsid w:val="00AE1EE1"/>
    <w:rsid w:val="00AE1F4D"/>
    <w:rsid w:val="00AE67AA"/>
    <w:rsid w:val="00AE79D5"/>
    <w:rsid w:val="00AF026E"/>
    <w:rsid w:val="00AF3059"/>
    <w:rsid w:val="00AF38DC"/>
    <w:rsid w:val="00AF56D9"/>
    <w:rsid w:val="00AF59F4"/>
    <w:rsid w:val="00AF64D9"/>
    <w:rsid w:val="00AF66D4"/>
    <w:rsid w:val="00AF74AD"/>
    <w:rsid w:val="00B00CAB"/>
    <w:rsid w:val="00B020AB"/>
    <w:rsid w:val="00B0278C"/>
    <w:rsid w:val="00B07CD5"/>
    <w:rsid w:val="00B10DD9"/>
    <w:rsid w:val="00B13332"/>
    <w:rsid w:val="00B13756"/>
    <w:rsid w:val="00B16950"/>
    <w:rsid w:val="00B2197C"/>
    <w:rsid w:val="00B2292B"/>
    <w:rsid w:val="00B262DF"/>
    <w:rsid w:val="00B26CB1"/>
    <w:rsid w:val="00B301CD"/>
    <w:rsid w:val="00B34225"/>
    <w:rsid w:val="00B35A20"/>
    <w:rsid w:val="00B40197"/>
    <w:rsid w:val="00B415FA"/>
    <w:rsid w:val="00B416B3"/>
    <w:rsid w:val="00B450A2"/>
    <w:rsid w:val="00B46D59"/>
    <w:rsid w:val="00B50C02"/>
    <w:rsid w:val="00B53614"/>
    <w:rsid w:val="00B53FBC"/>
    <w:rsid w:val="00B55F78"/>
    <w:rsid w:val="00B56753"/>
    <w:rsid w:val="00B57897"/>
    <w:rsid w:val="00B62876"/>
    <w:rsid w:val="00B642E4"/>
    <w:rsid w:val="00B65A6B"/>
    <w:rsid w:val="00B67600"/>
    <w:rsid w:val="00B709FE"/>
    <w:rsid w:val="00B7104B"/>
    <w:rsid w:val="00B711E1"/>
    <w:rsid w:val="00B73F5B"/>
    <w:rsid w:val="00B74A79"/>
    <w:rsid w:val="00B74B55"/>
    <w:rsid w:val="00B7577C"/>
    <w:rsid w:val="00B76BA6"/>
    <w:rsid w:val="00B77474"/>
    <w:rsid w:val="00B77983"/>
    <w:rsid w:val="00B81B8B"/>
    <w:rsid w:val="00B85EF3"/>
    <w:rsid w:val="00B8672B"/>
    <w:rsid w:val="00B90CC3"/>
    <w:rsid w:val="00B9191A"/>
    <w:rsid w:val="00B944A6"/>
    <w:rsid w:val="00B954B9"/>
    <w:rsid w:val="00B965C3"/>
    <w:rsid w:val="00B96E0F"/>
    <w:rsid w:val="00B97A6B"/>
    <w:rsid w:val="00B97CC8"/>
    <w:rsid w:val="00BA0430"/>
    <w:rsid w:val="00BA0857"/>
    <w:rsid w:val="00BA0B14"/>
    <w:rsid w:val="00BA281D"/>
    <w:rsid w:val="00BA534E"/>
    <w:rsid w:val="00BA7568"/>
    <w:rsid w:val="00BA78C1"/>
    <w:rsid w:val="00BA798D"/>
    <w:rsid w:val="00BB0D4D"/>
    <w:rsid w:val="00BB1CB3"/>
    <w:rsid w:val="00BB2D64"/>
    <w:rsid w:val="00BB4C81"/>
    <w:rsid w:val="00BB530B"/>
    <w:rsid w:val="00BB53EC"/>
    <w:rsid w:val="00BB6810"/>
    <w:rsid w:val="00BB736E"/>
    <w:rsid w:val="00BC2059"/>
    <w:rsid w:val="00BC227B"/>
    <w:rsid w:val="00BC3A27"/>
    <w:rsid w:val="00BC42CA"/>
    <w:rsid w:val="00BC4CAA"/>
    <w:rsid w:val="00BC4DC2"/>
    <w:rsid w:val="00BC5789"/>
    <w:rsid w:val="00BC6036"/>
    <w:rsid w:val="00BC6E53"/>
    <w:rsid w:val="00BD22FE"/>
    <w:rsid w:val="00BD60CD"/>
    <w:rsid w:val="00BE197C"/>
    <w:rsid w:val="00BE2272"/>
    <w:rsid w:val="00BE2746"/>
    <w:rsid w:val="00BE2F2C"/>
    <w:rsid w:val="00BE46BD"/>
    <w:rsid w:val="00BE68B6"/>
    <w:rsid w:val="00BE7601"/>
    <w:rsid w:val="00BF021C"/>
    <w:rsid w:val="00BF4A87"/>
    <w:rsid w:val="00BF4B8B"/>
    <w:rsid w:val="00BF5190"/>
    <w:rsid w:val="00BF5394"/>
    <w:rsid w:val="00BF70B4"/>
    <w:rsid w:val="00BF730B"/>
    <w:rsid w:val="00C00041"/>
    <w:rsid w:val="00C00151"/>
    <w:rsid w:val="00C01803"/>
    <w:rsid w:val="00C04B50"/>
    <w:rsid w:val="00C04CAD"/>
    <w:rsid w:val="00C06A9F"/>
    <w:rsid w:val="00C131FB"/>
    <w:rsid w:val="00C13ACC"/>
    <w:rsid w:val="00C20FB7"/>
    <w:rsid w:val="00C22CFC"/>
    <w:rsid w:val="00C23D78"/>
    <w:rsid w:val="00C2653A"/>
    <w:rsid w:val="00C27DFA"/>
    <w:rsid w:val="00C31371"/>
    <w:rsid w:val="00C320C2"/>
    <w:rsid w:val="00C32B90"/>
    <w:rsid w:val="00C33267"/>
    <w:rsid w:val="00C33FA7"/>
    <w:rsid w:val="00C34FB1"/>
    <w:rsid w:val="00C36742"/>
    <w:rsid w:val="00C3751A"/>
    <w:rsid w:val="00C43539"/>
    <w:rsid w:val="00C441BF"/>
    <w:rsid w:val="00C44C41"/>
    <w:rsid w:val="00C4570D"/>
    <w:rsid w:val="00C4584F"/>
    <w:rsid w:val="00C45987"/>
    <w:rsid w:val="00C464F6"/>
    <w:rsid w:val="00C5190E"/>
    <w:rsid w:val="00C51F05"/>
    <w:rsid w:val="00C537D6"/>
    <w:rsid w:val="00C56A29"/>
    <w:rsid w:val="00C614E6"/>
    <w:rsid w:val="00C649E3"/>
    <w:rsid w:val="00C65F3B"/>
    <w:rsid w:val="00C711F1"/>
    <w:rsid w:val="00C71DC7"/>
    <w:rsid w:val="00C72509"/>
    <w:rsid w:val="00C72A47"/>
    <w:rsid w:val="00C72EC6"/>
    <w:rsid w:val="00C7332D"/>
    <w:rsid w:val="00C73C97"/>
    <w:rsid w:val="00C74C9F"/>
    <w:rsid w:val="00C76311"/>
    <w:rsid w:val="00C777D2"/>
    <w:rsid w:val="00C80BF1"/>
    <w:rsid w:val="00C81051"/>
    <w:rsid w:val="00C8170F"/>
    <w:rsid w:val="00C82396"/>
    <w:rsid w:val="00C84809"/>
    <w:rsid w:val="00C85185"/>
    <w:rsid w:val="00C85A2D"/>
    <w:rsid w:val="00C865C5"/>
    <w:rsid w:val="00C908CF"/>
    <w:rsid w:val="00C91846"/>
    <w:rsid w:val="00C935D9"/>
    <w:rsid w:val="00C94964"/>
    <w:rsid w:val="00CA54EB"/>
    <w:rsid w:val="00CA59EF"/>
    <w:rsid w:val="00CB2FB5"/>
    <w:rsid w:val="00CC0061"/>
    <w:rsid w:val="00CC09AF"/>
    <w:rsid w:val="00CC37AA"/>
    <w:rsid w:val="00CC51C1"/>
    <w:rsid w:val="00CD0155"/>
    <w:rsid w:val="00CD050D"/>
    <w:rsid w:val="00CD072D"/>
    <w:rsid w:val="00CD0B7C"/>
    <w:rsid w:val="00CD2B2A"/>
    <w:rsid w:val="00CD3857"/>
    <w:rsid w:val="00CD6BFC"/>
    <w:rsid w:val="00CD762D"/>
    <w:rsid w:val="00CE0397"/>
    <w:rsid w:val="00CE0FDC"/>
    <w:rsid w:val="00CE44F0"/>
    <w:rsid w:val="00CF2199"/>
    <w:rsid w:val="00CF4ADF"/>
    <w:rsid w:val="00CF6135"/>
    <w:rsid w:val="00CF7EC2"/>
    <w:rsid w:val="00D000D1"/>
    <w:rsid w:val="00D02A80"/>
    <w:rsid w:val="00D04122"/>
    <w:rsid w:val="00D0466A"/>
    <w:rsid w:val="00D06D4C"/>
    <w:rsid w:val="00D06E7F"/>
    <w:rsid w:val="00D10DCD"/>
    <w:rsid w:val="00D11F63"/>
    <w:rsid w:val="00D120BE"/>
    <w:rsid w:val="00D14F54"/>
    <w:rsid w:val="00D15F5E"/>
    <w:rsid w:val="00D171C1"/>
    <w:rsid w:val="00D17767"/>
    <w:rsid w:val="00D2343F"/>
    <w:rsid w:val="00D23DFD"/>
    <w:rsid w:val="00D250D1"/>
    <w:rsid w:val="00D26626"/>
    <w:rsid w:val="00D31121"/>
    <w:rsid w:val="00D331B9"/>
    <w:rsid w:val="00D33364"/>
    <w:rsid w:val="00D36C67"/>
    <w:rsid w:val="00D40303"/>
    <w:rsid w:val="00D4560F"/>
    <w:rsid w:val="00D46B13"/>
    <w:rsid w:val="00D4787D"/>
    <w:rsid w:val="00D50711"/>
    <w:rsid w:val="00D612D7"/>
    <w:rsid w:val="00D630DE"/>
    <w:rsid w:val="00D632FC"/>
    <w:rsid w:val="00D67DB1"/>
    <w:rsid w:val="00D728E3"/>
    <w:rsid w:val="00D72F57"/>
    <w:rsid w:val="00D73AEB"/>
    <w:rsid w:val="00D75E0C"/>
    <w:rsid w:val="00D76930"/>
    <w:rsid w:val="00D81256"/>
    <w:rsid w:val="00D82DBF"/>
    <w:rsid w:val="00D84BF3"/>
    <w:rsid w:val="00D84DEB"/>
    <w:rsid w:val="00D85512"/>
    <w:rsid w:val="00D85768"/>
    <w:rsid w:val="00D90950"/>
    <w:rsid w:val="00D9349F"/>
    <w:rsid w:val="00D93B58"/>
    <w:rsid w:val="00D94A1D"/>
    <w:rsid w:val="00D94CFD"/>
    <w:rsid w:val="00D95845"/>
    <w:rsid w:val="00D95936"/>
    <w:rsid w:val="00D9598A"/>
    <w:rsid w:val="00DA0352"/>
    <w:rsid w:val="00DA1D8C"/>
    <w:rsid w:val="00DA2318"/>
    <w:rsid w:val="00DA30D1"/>
    <w:rsid w:val="00DA357C"/>
    <w:rsid w:val="00DA4004"/>
    <w:rsid w:val="00DA49A4"/>
    <w:rsid w:val="00DA4D7C"/>
    <w:rsid w:val="00DA61D3"/>
    <w:rsid w:val="00DB0C29"/>
    <w:rsid w:val="00DB0CD5"/>
    <w:rsid w:val="00DB0FB6"/>
    <w:rsid w:val="00DB10F1"/>
    <w:rsid w:val="00DB1153"/>
    <w:rsid w:val="00DB1984"/>
    <w:rsid w:val="00DB20AB"/>
    <w:rsid w:val="00DB20E3"/>
    <w:rsid w:val="00DC0C72"/>
    <w:rsid w:val="00DC14F6"/>
    <w:rsid w:val="00DC351A"/>
    <w:rsid w:val="00DC55B4"/>
    <w:rsid w:val="00DC5CCE"/>
    <w:rsid w:val="00DD0672"/>
    <w:rsid w:val="00DD1D61"/>
    <w:rsid w:val="00DD3024"/>
    <w:rsid w:val="00DD4117"/>
    <w:rsid w:val="00DD4999"/>
    <w:rsid w:val="00DE0957"/>
    <w:rsid w:val="00DE2A35"/>
    <w:rsid w:val="00DE487D"/>
    <w:rsid w:val="00DE5CFE"/>
    <w:rsid w:val="00DE6744"/>
    <w:rsid w:val="00DE7921"/>
    <w:rsid w:val="00DE7DC9"/>
    <w:rsid w:val="00DF054B"/>
    <w:rsid w:val="00DF06A8"/>
    <w:rsid w:val="00DF36E6"/>
    <w:rsid w:val="00DF5F33"/>
    <w:rsid w:val="00DF7718"/>
    <w:rsid w:val="00E001BD"/>
    <w:rsid w:val="00E04703"/>
    <w:rsid w:val="00E07D79"/>
    <w:rsid w:val="00E13FA5"/>
    <w:rsid w:val="00E14655"/>
    <w:rsid w:val="00E14D60"/>
    <w:rsid w:val="00E159E7"/>
    <w:rsid w:val="00E17809"/>
    <w:rsid w:val="00E205F8"/>
    <w:rsid w:val="00E25087"/>
    <w:rsid w:val="00E25913"/>
    <w:rsid w:val="00E2695B"/>
    <w:rsid w:val="00E27F5F"/>
    <w:rsid w:val="00E3075A"/>
    <w:rsid w:val="00E32A3D"/>
    <w:rsid w:val="00E32D22"/>
    <w:rsid w:val="00E347A1"/>
    <w:rsid w:val="00E34EED"/>
    <w:rsid w:val="00E34F81"/>
    <w:rsid w:val="00E37DEA"/>
    <w:rsid w:val="00E416A8"/>
    <w:rsid w:val="00E41E51"/>
    <w:rsid w:val="00E42DF2"/>
    <w:rsid w:val="00E462A0"/>
    <w:rsid w:val="00E51136"/>
    <w:rsid w:val="00E557AE"/>
    <w:rsid w:val="00E56574"/>
    <w:rsid w:val="00E56808"/>
    <w:rsid w:val="00E56DB2"/>
    <w:rsid w:val="00E617E1"/>
    <w:rsid w:val="00E65C7C"/>
    <w:rsid w:val="00E668FF"/>
    <w:rsid w:val="00E6703A"/>
    <w:rsid w:val="00E6719C"/>
    <w:rsid w:val="00E7124B"/>
    <w:rsid w:val="00E73C63"/>
    <w:rsid w:val="00E74099"/>
    <w:rsid w:val="00E7459C"/>
    <w:rsid w:val="00E7480B"/>
    <w:rsid w:val="00E757DF"/>
    <w:rsid w:val="00E76B8E"/>
    <w:rsid w:val="00E776C2"/>
    <w:rsid w:val="00E81519"/>
    <w:rsid w:val="00E82492"/>
    <w:rsid w:val="00E83192"/>
    <w:rsid w:val="00E8653F"/>
    <w:rsid w:val="00E900C9"/>
    <w:rsid w:val="00E9076F"/>
    <w:rsid w:val="00E91136"/>
    <w:rsid w:val="00E92735"/>
    <w:rsid w:val="00E97254"/>
    <w:rsid w:val="00E975BF"/>
    <w:rsid w:val="00EA35D4"/>
    <w:rsid w:val="00EA39CE"/>
    <w:rsid w:val="00EB0A89"/>
    <w:rsid w:val="00EB1E3A"/>
    <w:rsid w:val="00EB31D0"/>
    <w:rsid w:val="00EB4296"/>
    <w:rsid w:val="00EB48E3"/>
    <w:rsid w:val="00EB5D20"/>
    <w:rsid w:val="00EB652B"/>
    <w:rsid w:val="00EB70FD"/>
    <w:rsid w:val="00EC284B"/>
    <w:rsid w:val="00EC38C3"/>
    <w:rsid w:val="00EC3D81"/>
    <w:rsid w:val="00EC4BEA"/>
    <w:rsid w:val="00EC68AA"/>
    <w:rsid w:val="00EC6CF4"/>
    <w:rsid w:val="00EC7F00"/>
    <w:rsid w:val="00ED0700"/>
    <w:rsid w:val="00ED1BB4"/>
    <w:rsid w:val="00ED2C1B"/>
    <w:rsid w:val="00ED4560"/>
    <w:rsid w:val="00ED4919"/>
    <w:rsid w:val="00ED6F4E"/>
    <w:rsid w:val="00ED7225"/>
    <w:rsid w:val="00EE3A92"/>
    <w:rsid w:val="00EE6998"/>
    <w:rsid w:val="00EE7BC7"/>
    <w:rsid w:val="00EF1D0B"/>
    <w:rsid w:val="00EF286B"/>
    <w:rsid w:val="00EF4649"/>
    <w:rsid w:val="00EF5450"/>
    <w:rsid w:val="00EF6524"/>
    <w:rsid w:val="00EF673A"/>
    <w:rsid w:val="00EF74D0"/>
    <w:rsid w:val="00F024C1"/>
    <w:rsid w:val="00F03EA7"/>
    <w:rsid w:val="00F06D05"/>
    <w:rsid w:val="00F06EDF"/>
    <w:rsid w:val="00F150D6"/>
    <w:rsid w:val="00F17F53"/>
    <w:rsid w:val="00F2228A"/>
    <w:rsid w:val="00F27638"/>
    <w:rsid w:val="00F2789F"/>
    <w:rsid w:val="00F30AB5"/>
    <w:rsid w:val="00F3114F"/>
    <w:rsid w:val="00F3330E"/>
    <w:rsid w:val="00F37E5C"/>
    <w:rsid w:val="00F4026C"/>
    <w:rsid w:val="00F414C9"/>
    <w:rsid w:val="00F445E3"/>
    <w:rsid w:val="00F45015"/>
    <w:rsid w:val="00F46D1A"/>
    <w:rsid w:val="00F47C65"/>
    <w:rsid w:val="00F5141C"/>
    <w:rsid w:val="00F51533"/>
    <w:rsid w:val="00F53F2A"/>
    <w:rsid w:val="00F5433F"/>
    <w:rsid w:val="00F55D64"/>
    <w:rsid w:val="00F56A16"/>
    <w:rsid w:val="00F56D53"/>
    <w:rsid w:val="00F575D3"/>
    <w:rsid w:val="00F57C0A"/>
    <w:rsid w:val="00F62976"/>
    <w:rsid w:val="00F64D46"/>
    <w:rsid w:val="00F676D0"/>
    <w:rsid w:val="00F738E2"/>
    <w:rsid w:val="00F807C1"/>
    <w:rsid w:val="00F82A58"/>
    <w:rsid w:val="00F84D76"/>
    <w:rsid w:val="00F90970"/>
    <w:rsid w:val="00F91617"/>
    <w:rsid w:val="00F92728"/>
    <w:rsid w:val="00F92A0C"/>
    <w:rsid w:val="00F93646"/>
    <w:rsid w:val="00F93C8E"/>
    <w:rsid w:val="00F9549A"/>
    <w:rsid w:val="00FA469A"/>
    <w:rsid w:val="00FA5A68"/>
    <w:rsid w:val="00FA75A1"/>
    <w:rsid w:val="00FB01D3"/>
    <w:rsid w:val="00FB0EA2"/>
    <w:rsid w:val="00FB2669"/>
    <w:rsid w:val="00FB2672"/>
    <w:rsid w:val="00FB6365"/>
    <w:rsid w:val="00FB654F"/>
    <w:rsid w:val="00FC000A"/>
    <w:rsid w:val="00FC4958"/>
    <w:rsid w:val="00FC615D"/>
    <w:rsid w:val="00FC6A55"/>
    <w:rsid w:val="00FC6C1A"/>
    <w:rsid w:val="00FC744E"/>
    <w:rsid w:val="00FC7D5B"/>
    <w:rsid w:val="00FD0922"/>
    <w:rsid w:val="00FD156F"/>
    <w:rsid w:val="00FD1B2B"/>
    <w:rsid w:val="00FD3665"/>
    <w:rsid w:val="00FD3C4D"/>
    <w:rsid w:val="00FD6871"/>
    <w:rsid w:val="00FD6F25"/>
    <w:rsid w:val="00FE1410"/>
    <w:rsid w:val="00FE4B7F"/>
    <w:rsid w:val="00FE5BC4"/>
    <w:rsid w:val="00FE7D3A"/>
    <w:rsid w:val="00FF175B"/>
    <w:rsid w:val="00FF564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List Number"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AD1F84"/>
    <w:pPr>
      <w:spacing w:after="0" w:line="240" w:lineRule="auto"/>
    </w:pPr>
    <w:rPr>
      <w:rFonts w:ascii="Times New Roman" w:eastAsia="Times New Roman" w:hAnsi="Times New Roman" w:cs="Times New Roman"/>
      <w:sz w:val="24"/>
      <w:szCs w:val="24"/>
      <w:lang w:eastAsia="ru-RU"/>
    </w:rPr>
  </w:style>
  <w:style w:type="paragraph" w:styleId="10">
    <w:name w:val="heading 1"/>
    <w:basedOn w:val="a4"/>
    <w:next w:val="a4"/>
    <w:link w:val="11"/>
    <w:qFormat/>
    <w:rsid w:val="007F6DBF"/>
    <w:pPr>
      <w:keepNext/>
      <w:spacing w:before="240" w:after="60"/>
      <w:outlineLvl w:val="0"/>
    </w:pPr>
    <w:rPr>
      <w:rFonts w:ascii="Arial" w:hAnsi="Arial" w:cs="Arial"/>
      <w:b/>
      <w:bCs/>
      <w:kern w:val="32"/>
      <w:sz w:val="32"/>
      <w:szCs w:val="32"/>
    </w:rPr>
  </w:style>
  <w:style w:type="paragraph" w:styleId="20">
    <w:name w:val="heading 2"/>
    <w:basedOn w:val="a4"/>
    <w:next w:val="a4"/>
    <w:link w:val="21"/>
    <w:qFormat/>
    <w:rsid w:val="007F6DBF"/>
    <w:pPr>
      <w:keepNext/>
      <w:spacing w:line="360" w:lineRule="auto"/>
      <w:ind w:firstLine="118"/>
      <w:jc w:val="both"/>
      <w:outlineLvl w:val="1"/>
    </w:pPr>
    <w:rPr>
      <w:sz w:val="28"/>
      <w:szCs w:val="20"/>
    </w:rPr>
  </w:style>
  <w:style w:type="paragraph" w:styleId="30">
    <w:name w:val="heading 3"/>
    <w:basedOn w:val="a4"/>
    <w:next w:val="a4"/>
    <w:link w:val="31"/>
    <w:qFormat/>
    <w:rsid w:val="007F6DBF"/>
    <w:pPr>
      <w:keepNext/>
      <w:ind w:firstLine="567"/>
      <w:jc w:val="center"/>
      <w:outlineLvl w:val="2"/>
    </w:pPr>
    <w:rPr>
      <w:sz w:val="28"/>
      <w:szCs w:val="20"/>
    </w:rPr>
  </w:style>
  <w:style w:type="paragraph" w:styleId="4">
    <w:name w:val="heading 4"/>
    <w:basedOn w:val="a4"/>
    <w:next w:val="a4"/>
    <w:link w:val="40"/>
    <w:qFormat/>
    <w:rsid w:val="007F6DBF"/>
    <w:pPr>
      <w:keepNext/>
      <w:jc w:val="center"/>
      <w:outlineLvl w:val="3"/>
    </w:pPr>
    <w:rPr>
      <w:b/>
      <w:bCs/>
      <w:sz w:val="20"/>
      <w:szCs w:val="20"/>
    </w:rPr>
  </w:style>
  <w:style w:type="paragraph" w:styleId="5">
    <w:name w:val="heading 5"/>
    <w:basedOn w:val="a4"/>
    <w:next w:val="a4"/>
    <w:link w:val="50"/>
    <w:qFormat/>
    <w:rsid w:val="007F6DBF"/>
    <w:pPr>
      <w:keepNext/>
      <w:ind w:firstLine="567"/>
      <w:jc w:val="center"/>
      <w:outlineLvl w:val="4"/>
    </w:pPr>
    <w:rPr>
      <w:b/>
      <w:bCs/>
      <w:sz w:val="26"/>
      <w:szCs w:val="20"/>
    </w:rPr>
  </w:style>
  <w:style w:type="paragraph" w:styleId="6">
    <w:name w:val="heading 6"/>
    <w:basedOn w:val="a4"/>
    <w:next w:val="a4"/>
    <w:link w:val="60"/>
    <w:qFormat/>
    <w:rsid w:val="007F6DBF"/>
    <w:pPr>
      <w:keepNext/>
      <w:jc w:val="center"/>
      <w:outlineLvl w:val="5"/>
    </w:pPr>
    <w:rPr>
      <w:b/>
      <w:iCs/>
      <w:sz w:val="26"/>
      <w:szCs w:val="20"/>
    </w:rPr>
  </w:style>
  <w:style w:type="paragraph" w:styleId="7">
    <w:name w:val="heading 7"/>
    <w:basedOn w:val="a4"/>
    <w:next w:val="a4"/>
    <w:link w:val="70"/>
    <w:qFormat/>
    <w:rsid w:val="007F6DBF"/>
    <w:pPr>
      <w:keepNext/>
      <w:jc w:val="both"/>
      <w:outlineLvl w:val="6"/>
    </w:pPr>
    <w:rPr>
      <w:szCs w:val="20"/>
    </w:rPr>
  </w:style>
  <w:style w:type="paragraph" w:styleId="8">
    <w:name w:val="heading 8"/>
    <w:basedOn w:val="a4"/>
    <w:next w:val="a4"/>
    <w:link w:val="80"/>
    <w:qFormat/>
    <w:rsid w:val="007F6DBF"/>
    <w:pPr>
      <w:keepNext/>
      <w:numPr>
        <w:numId w:val="18"/>
      </w:numPr>
      <w:outlineLvl w:val="7"/>
    </w:pPr>
    <w:rPr>
      <w:b/>
      <w:iCs/>
      <w:sz w:val="28"/>
      <w:szCs w:val="20"/>
    </w:rPr>
  </w:style>
  <w:style w:type="paragraph" w:styleId="9">
    <w:name w:val="heading 9"/>
    <w:basedOn w:val="a4"/>
    <w:next w:val="a4"/>
    <w:link w:val="90"/>
    <w:qFormat/>
    <w:rsid w:val="007F6DBF"/>
    <w:pPr>
      <w:keepNext/>
      <w:jc w:val="center"/>
      <w:outlineLvl w:val="8"/>
    </w:pPr>
    <w:rPr>
      <w:b/>
      <w:iCs/>
      <w:sz w:val="22"/>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styleId="a8">
    <w:name w:val="Hyperlink"/>
    <w:basedOn w:val="a5"/>
    <w:uiPriority w:val="99"/>
    <w:unhideWhenUsed/>
    <w:rsid w:val="00B954B9"/>
    <w:rPr>
      <w:color w:val="0000FF" w:themeColor="hyperlink"/>
      <w:u w:val="single"/>
    </w:rPr>
  </w:style>
  <w:style w:type="paragraph" w:styleId="a9">
    <w:name w:val="List Paragraph"/>
    <w:basedOn w:val="a4"/>
    <w:uiPriority w:val="34"/>
    <w:qFormat/>
    <w:rsid w:val="00B415FA"/>
    <w:pPr>
      <w:ind w:left="720"/>
      <w:contextualSpacing/>
    </w:pPr>
  </w:style>
  <w:style w:type="paragraph" w:styleId="aa">
    <w:name w:val="Balloon Text"/>
    <w:basedOn w:val="a4"/>
    <w:link w:val="ab"/>
    <w:uiPriority w:val="99"/>
    <w:semiHidden/>
    <w:unhideWhenUsed/>
    <w:rsid w:val="00AF3059"/>
    <w:rPr>
      <w:rFonts w:ascii="Tahoma" w:hAnsi="Tahoma" w:cs="Tahoma"/>
      <w:sz w:val="16"/>
      <w:szCs w:val="16"/>
    </w:rPr>
  </w:style>
  <w:style w:type="character" w:customStyle="1" w:styleId="ab">
    <w:name w:val="Текст выноски Знак"/>
    <w:basedOn w:val="a5"/>
    <w:link w:val="aa"/>
    <w:uiPriority w:val="99"/>
    <w:semiHidden/>
    <w:rsid w:val="00AF3059"/>
    <w:rPr>
      <w:rFonts w:ascii="Tahoma" w:eastAsia="Times New Roman" w:hAnsi="Tahoma" w:cs="Tahoma"/>
      <w:sz w:val="16"/>
      <w:szCs w:val="16"/>
      <w:lang w:eastAsia="ru-RU"/>
    </w:rPr>
  </w:style>
  <w:style w:type="paragraph" w:styleId="ac">
    <w:name w:val="Normal (Web)"/>
    <w:basedOn w:val="a4"/>
    <w:unhideWhenUsed/>
    <w:rsid w:val="0054405A"/>
    <w:pPr>
      <w:spacing w:before="100" w:beforeAutospacing="1" w:after="100" w:afterAutospacing="1"/>
    </w:pPr>
    <w:rPr>
      <w:rFonts w:eastAsiaTheme="minorEastAsia"/>
    </w:rPr>
  </w:style>
  <w:style w:type="character" w:styleId="ad">
    <w:name w:val="annotation reference"/>
    <w:basedOn w:val="a5"/>
    <w:unhideWhenUsed/>
    <w:rsid w:val="00116943"/>
    <w:rPr>
      <w:sz w:val="16"/>
      <w:szCs w:val="16"/>
    </w:rPr>
  </w:style>
  <w:style w:type="paragraph" w:styleId="ae">
    <w:name w:val="annotation text"/>
    <w:basedOn w:val="a4"/>
    <w:link w:val="af"/>
    <w:semiHidden/>
    <w:unhideWhenUsed/>
    <w:rsid w:val="00116943"/>
    <w:rPr>
      <w:sz w:val="20"/>
      <w:szCs w:val="20"/>
    </w:rPr>
  </w:style>
  <w:style w:type="character" w:customStyle="1" w:styleId="af">
    <w:name w:val="Текст примечания Знак"/>
    <w:basedOn w:val="a5"/>
    <w:link w:val="ae"/>
    <w:semiHidden/>
    <w:rsid w:val="00116943"/>
    <w:rPr>
      <w:rFonts w:ascii="Times New Roman" w:eastAsia="Times New Roman" w:hAnsi="Times New Roman" w:cs="Times New Roman"/>
      <w:sz w:val="20"/>
      <w:szCs w:val="20"/>
      <w:lang w:eastAsia="ru-RU"/>
    </w:rPr>
  </w:style>
  <w:style w:type="paragraph" w:styleId="af0">
    <w:name w:val="annotation subject"/>
    <w:basedOn w:val="ae"/>
    <w:next w:val="ae"/>
    <w:link w:val="af1"/>
    <w:uiPriority w:val="99"/>
    <w:semiHidden/>
    <w:unhideWhenUsed/>
    <w:rsid w:val="00116943"/>
    <w:rPr>
      <w:b/>
      <w:bCs/>
    </w:rPr>
  </w:style>
  <w:style w:type="character" w:customStyle="1" w:styleId="af1">
    <w:name w:val="Тема примечания Знак"/>
    <w:basedOn w:val="af"/>
    <w:link w:val="af0"/>
    <w:uiPriority w:val="99"/>
    <w:semiHidden/>
    <w:rsid w:val="00116943"/>
    <w:rPr>
      <w:rFonts w:ascii="Times New Roman" w:eastAsia="Times New Roman" w:hAnsi="Times New Roman" w:cs="Times New Roman"/>
      <w:b/>
      <w:bCs/>
      <w:sz w:val="20"/>
      <w:szCs w:val="20"/>
      <w:lang w:eastAsia="ru-RU"/>
    </w:rPr>
  </w:style>
  <w:style w:type="character" w:customStyle="1" w:styleId="11">
    <w:name w:val="Заголовок 1 Знак"/>
    <w:basedOn w:val="a5"/>
    <w:link w:val="10"/>
    <w:rsid w:val="007F6DBF"/>
    <w:rPr>
      <w:rFonts w:ascii="Arial" w:eastAsia="Times New Roman" w:hAnsi="Arial" w:cs="Arial"/>
      <w:b/>
      <w:bCs/>
      <w:kern w:val="32"/>
      <w:sz w:val="32"/>
      <w:szCs w:val="32"/>
      <w:lang w:eastAsia="ru-RU"/>
    </w:rPr>
  </w:style>
  <w:style w:type="character" w:customStyle="1" w:styleId="21">
    <w:name w:val="Заголовок 2 Знак"/>
    <w:basedOn w:val="a5"/>
    <w:link w:val="20"/>
    <w:rsid w:val="007F6DBF"/>
    <w:rPr>
      <w:rFonts w:ascii="Times New Roman" w:eastAsia="Times New Roman" w:hAnsi="Times New Roman" w:cs="Times New Roman"/>
      <w:sz w:val="28"/>
      <w:szCs w:val="20"/>
      <w:lang w:eastAsia="ru-RU"/>
    </w:rPr>
  </w:style>
  <w:style w:type="character" w:customStyle="1" w:styleId="31">
    <w:name w:val="Заголовок 3 Знак"/>
    <w:basedOn w:val="a5"/>
    <w:link w:val="30"/>
    <w:rsid w:val="007F6DBF"/>
    <w:rPr>
      <w:rFonts w:ascii="Times New Roman" w:eastAsia="Times New Roman" w:hAnsi="Times New Roman" w:cs="Times New Roman"/>
      <w:sz w:val="28"/>
      <w:szCs w:val="20"/>
      <w:lang w:eastAsia="ru-RU"/>
    </w:rPr>
  </w:style>
  <w:style w:type="character" w:customStyle="1" w:styleId="40">
    <w:name w:val="Заголовок 4 Знак"/>
    <w:basedOn w:val="a5"/>
    <w:link w:val="4"/>
    <w:rsid w:val="007F6DBF"/>
    <w:rPr>
      <w:rFonts w:ascii="Times New Roman" w:eastAsia="Times New Roman" w:hAnsi="Times New Roman" w:cs="Times New Roman"/>
      <w:b/>
      <w:bCs/>
      <w:sz w:val="20"/>
      <w:szCs w:val="20"/>
      <w:lang w:eastAsia="ru-RU"/>
    </w:rPr>
  </w:style>
  <w:style w:type="character" w:customStyle="1" w:styleId="50">
    <w:name w:val="Заголовок 5 Знак"/>
    <w:basedOn w:val="a5"/>
    <w:link w:val="5"/>
    <w:rsid w:val="007F6DBF"/>
    <w:rPr>
      <w:rFonts w:ascii="Times New Roman" w:eastAsia="Times New Roman" w:hAnsi="Times New Roman" w:cs="Times New Roman"/>
      <w:b/>
      <w:bCs/>
      <w:sz w:val="26"/>
      <w:szCs w:val="20"/>
      <w:lang w:eastAsia="ru-RU"/>
    </w:rPr>
  </w:style>
  <w:style w:type="character" w:customStyle="1" w:styleId="60">
    <w:name w:val="Заголовок 6 Знак"/>
    <w:basedOn w:val="a5"/>
    <w:link w:val="6"/>
    <w:rsid w:val="007F6DBF"/>
    <w:rPr>
      <w:rFonts w:ascii="Times New Roman" w:eastAsia="Times New Roman" w:hAnsi="Times New Roman" w:cs="Times New Roman"/>
      <w:b/>
      <w:iCs/>
      <w:sz w:val="26"/>
      <w:szCs w:val="20"/>
      <w:lang w:eastAsia="ru-RU"/>
    </w:rPr>
  </w:style>
  <w:style w:type="character" w:customStyle="1" w:styleId="70">
    <w:name w:val="Заголовок 7 Знак"/>
    <w:basedOn w:val="a5"/>
    <w:link w:val="7"/>
    <w:rsid w:val="007F6DBF"/>
    <w:rPr>
      <w:rFonts w:ascii="Times New Roman" w:eastAsia="Times New Roman" w:hAnsi="Times New Roman" w:cs="Times New Roman"/>
      <w:sz w:val="24"/>
      <w:szCs w:val="20"/>
      <w:lang w:eastAsia="ru-RU"/>
    </w:rPr>
  </w:style>
  <w:style w:type="character" w:customStyle="1" w:styleId="80">
    <w:name w:val="Заголовок 8 Знак"/>
    <w:basedOn w:val="a5"/>
    <w:link w:val="8"/>
    <w:rsid w:val="007F6DBF"/>
    <w:rPr>
      <w:rFonts w:ascii="Times New Roman" w:eastAsia="Times New Roman" w:hAnsi="Times New Roman" w:cs="Times New Roman"/>
      <w:b/>
      <w:iCs/>
      <w:sz w:val="28"/>
      <w:szCs w:val="20"/>
      <w:lang w:eastAsia="ru-RU"/>
    </w:rPr>
  </w:style>
  <w:style w:type="character" w:customStyle="1" w:styleId="90">
    <w:name w:val="Заголовок 9 Знак"/>
    <w:basedOn w:val="a5"/>
    <w:link w:val="9"/>
    <w:rsid w:val="007F6DBF"/>
    <w:rPr>
      <w:rFonts w:ascii="Times New Roman" w:eastAsia="Times New Roman" w:hAnsi="Times New Roman" w:cs="Times New Roman"/>
      <w:b/>
      <w:iCs/>
      <w:szCs w:val="20"/>
      <w:lang w:eastAsia="ru-RU"/>
    </w:rPr>
  </w:style>
  <w:style w:type="numbering" w:customStyle="1" w:styleId="12">
    <w:name w:val="Нет списка1"/>
    <w:next w:val="a7"/>
    <w:uiPriority w:val="99"/>
    <w:semiHidden/>
    <w:unhideWhenUsed/>
    <w:rsid w:val="007F6DBF"/>
  </w:style>
  <w:style w:type="numbering" w:customStyle="1" w:styleId="110">
    <w:name w:val="Нет списка11"/>
    <w:next w:val="a7"/>
    <w:uiPriority w:val="99"/>
    <w:semiHidden/>
    <w:unhideWhenUsed/>
    <w:rsid w:val="007F6DBF"/>
  </w:style>
  <w:style w:type="table" w:styleId="af2">
    <w:name w:val="Table Grid"/>
    <w:basedOn w:val="a6"/>
    <w:uiPriority w:val="59"/>
    <w:rsid w:val="007F6D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1"/>
    <w:next w:val="a7"/>
    <w:semiHidden/>
    <w:rsid w:val="007F6DBF"/>
  </w:style>
  <w:style w:type="paragraph" w:customStyle="1" w:styleId="ConsPlusNormal">
    <w:name w:val="ConsPlusNormal"/>
    <w:rsid w:val="007F6DB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header"/>
    <w:basedOn w:val="a4"/>
    <w:link w:val="af4"/>
    <w:uiPriority w:val="99"/>
    <w:rsid w:val="007F6DBF"/>
    <w:pPr>
      <w:tabs>
        <w:tab w:val="center" w:pos="4677"/>
        <w:tab w:val="right" w:pos="9355"/>
      </w:tabs>
    </w:pPr>
  </w:style>
  <w:style w:type="character" w:customStyle="1" w:styleId="af4">
    <w:name w:val="Верхний колонтитул Знак"/>
    <w:basedOn w:val="a5"/>
    <w:link w:val="af3"/>
    <w:uiPriority w:val="99"/>
    <w:rsid w:val="007F6DBF"/>
    <w:rPr>
      <w:rFonts w:ascii="Times New Roman" w:eastAsia="Times New Roman" w:hAnsi="Times New Roman" w:cs="Times New Roman"/>
      <w:sz w:val="24"/>
      <w:szCs w:val="24"/>
      <w:lang w:eastAsia="ru-RU"/>
    </w:rPr>
  </w:style>
  <w:style w:type="character" w:styleId="af5">
    <w:name w:val="page number"/>
    <w:rsid w:val="007F6DBF"/>
  </w:style>
  <w:style w:type="paragraph" w:customStyle="1" w:styleId="310">
    <w:name w:val="Основной текст 31"/>
    <w:basedOn w:val="a4"/>
    <w:rsid w:val="007F6DBF"/>
    <w:pPr>
      <w:suppressAutoHyphens/>
      <w:spacing w:before="20"/>
      <w:ind w:firstLine="709"/>
      <w:jc w:val="both"/>
    </w:pPr>
    <w:rPr>
      <w:szCs w:val="20"/>
      <w:lang w:eastAsia="ar-SA"/>
    </w:rPr>
  </w:style>
  <w:style w:type="paragraph" w:customStyle="1" w:styleId="13">
    <w:name w:val="1"/>
    <w:basedOn w:val="a4"/>
    <w:rsid w:val="007F6DBF"/>
    <w:pPr>
      <w:spacing w:after="160" w:line="240" w:lineRule="exact"/>
    </w:pPr>
    <w:rPr>
      <w:rFonts w:ascii="Verdana" w:hAnsi="Verdana" w:cs="Verdana"/>
      <w:sz w:val="20"/>
      <w:szCs w:val="20"/>
      <w:lang w:val="en-US" w:eastAsia="en-US"/>
    </w:rPr>
  </w:style>
  <w:style w:type="paragraph" w:styleId="af6">
    <w:name w:val="Title"/>
    <w:basedOn w:val="a4"/>
    <w:link w:val="af7"/>
    <w:qFormat/>
    <w:rsid w:val="007F6DBF"/>
    <w:pPr>
      <w:jc w:val="center"/>
    </w:pPr>
    <w:rPr>
      <w:szCs w:val="20"/>
    </w:rPr>
  </w:style>
  <w:style w:type="character" w:customStyle="1" w:styleId="af7">
    <w:name w:val="Название Знак"/>
    <w:basedOn w:val="a5"/>
    <w:link w:val="af6"/>
    <w:rsid w:val="007F6DBF"/>
    <w:rPr>
      <w:rFonts w:ascii="Times New Roman" w:eastAsia="Times New Roman" w:hAnsi="Times New Roman" w:cs="Times New Roman"/>
      <w:sz w:val="24"/>
      <w:szCs w:val="20"/>
      <w:lang w:eastAsia="ru-RU"/>
    </w:rPr>
  </w:style>
  <w:style w:type="paragraph" w:customStyle="1" w:styleId="af8">
    <w:name w:val="Знак Знак Знак Знак"/>
    <w:basedOn w:val="a4"/>
    <w:rsid w:val="007F6DBF"/>
    <w:pPr>
      <w:spacing w:after="160" w:line="240" w:lineRule="exact"/>
    </w:pPr>
    <w:rPr>
      <w:rFonts w:ascii="Verdana" w:hAnsi="Verdana" w:cs="Verdana"/>
      <w:sz w:val="20"/>
      <w:szCs w:val="20"/>
      <w:lang w:val="en-US" w:eastAsia="en-US"/>
    </w:rPr>
  </w:style>
  <w:style w:type="numbering" w:customStyle="1" w:styleId="22">
    <w:name w:val="Нет списка2"/>
    <w:next w:val="a7"/>
    <w:uiPriority w:val="99"/>
    <w:semiHidden/>
    <w:unhideWhenUsed/>
    <w:rsid w:val="007F6DBF"/>
  </w:style>
  <w:style w:type="numbering" w:customStyle="1" w:styleId="1111">
    <w:name w:val="Нет списка1111"/>
    <w:next w:val="a7"/>
    <w:semiHidden/>
    <w:unhideWhenUsed/>
    <w:rsid w:val="007F6DBF"/>
  </w:style>
  <w:style w:type="paragraph" w:customStyle="1" w:styleId="af9">
    <w:name w:val="Знак Знак Знак"/>
    <w:basedOn w:val="a4"/>
    <w:rsid w:val="007F6DBF"/>
    <w:pPr>
      <w:spacing w:after="160" w:line="240" w:lineRule="exact"/>
    </w:pPr>
    <w:rPr>
      <w:rFonts w:ascii="Verdana" w:hAnsi="Verdana" w:cs="Verdana"/>
      <w:sz w:val="20"/>
      <w:szCs w:val="20"/>
      <w:lang w:val="en-US" w:eastAsia="en-US"/>
    </w:rPr>
  </w:style>
  <w:style w:type="paragraph" w:styleId="afa">
    <w:name w:val="Body Text"/>
    <w:aliases w:val="body text"/>
    <w:basedOn w:val="a4"/>
    <w:link w:val="afb"/>
    <w:rsid w:val="007F6DBF"/>
    <w:pPr>
      <w:spacing w:line="360" w:lineRule="auto"/>
      <w:jc w:val="both"/>
    </w:pPr>
    <w:rPr>
      <w:sz w:val="28"/>
      <w:szCs w:val="20"/>
    </w:rPr>
  </w:style>
  <w:style w:type="character" w:customStyle="1" w:styleId="afb">
    <w:name w:val="Основной текст Знак"/>
    <w:aliases w:val="body text Знак"/>
    <w:basedOn w:val="a5"/>
    <w:link w:val="afa"/>
    <w:rsid w:val="007F6DBF"/>
    <w:rPr>
      <w:rFonts w:ascii="Times New Roman" w:eastAsia="Times New Roman" w:hAnsi="Times New Roman" w:cs="Times New Roman"/>
      <w:sz w:val="28"/>
      <w:szCs w:val="20"/>
      <w:lang w:eastAsia="ru-RU"/>
    </w:rPr>
  </w:style>
  <w:style w:type="paragraph" w:styleId="a">
    <w:name w:val="Body Text Indent"/>
    <w:basedOn w:val="a4"/>
    <w:link w:val="afc"/>
    <w:semiHidden/>
    <w:rsid w:val="007F6DBF"/>
    <w:pPr>
      <w:numPr>
        <w:numId w:val="22"/>
      </w:numPr>
      <w:tabs>
        <w:tab w:val="clear" w:pos="900"/>
      </w:tabs>
      <w:spacing w:line="360" w:lineRule="auto"/>
      <w:ind w:left="0" w:firstLine="567"/>
      <w:jc w:val="both"/>
    </w:pPr>
    <w:rPr>
      <w:sz w:val="28"/>
      <w:szCs w:val="20"/>
    </w:rPr>
  </w:style>
  <w:style w:type="character" w:customStyle="1" w:styleId="afc">
    <w:name w:val="Основной текст с отступом Знак"/>
    <w:basedOn w:val="a5"/>
    <w:link w:val="a"/>
    <w:semiHidden/>
    <w:rsid w:val="007F6DBF"/>
    <w:rPr>
      <w:rFonts w:ascii="Times New Roman" w:eastAsia="Times New Roman" w:hAnsi="Times New Roman" w:cs="Times New Roman"/>
      <w:sz w:val="28"/>
      <w:szCs w:val="20"/>
      <w:lang w:eastAsia="ru-RU"/>
    </w:rPr>
  </w:style>
  <w:style w:type="paragraph" w:styleId="2">
    <w:name w:val="Body Text Indent 2"/>
    <w:basedOn w:val="a4"/>
    <w:link w:val="23"/>
    <w:semiHidden/>
    <w:rsid w:val="007F6DBF"/>
    <w:pPr>
      <w:numPr>
        <w:ilvl w:val="4"/>
        <w:numId w:val="22"/>
      </w:numPr>
      <w:tabs>
        <w:tab w:val="clear" w:pos="2160"/>
      </w:tabs>
      <w:spacing w:line="360" w:lineRule="auto"/>
      <w:ind w:firstLine="567"/>
      <w:jc w:val="center"/>
    </w:pPr>
    <w:rPr>
      <w:sz w:val="20"/>
      <w:szCs w:val="20"/>
    </w:rPr>
  </w:style>
  <w:style w:type="character" w:customStyle="1" w:styleId="23">
    <w:name w:val="Основной текст с отступом 2 Знак"/>
    <w:basedOn w:val="a5"/>
    <w:link w:val="2"/>
    <w:semiHidden/>
    <w:rsid w:val="007F6DBF"/>
    <w:rPr>
      <w:rFonts w:ascii="Times New Roman" w:eastAsia="Times New Roman" w:hAnsi="Times New Roman" w:cs="Times New Roman"/>
      <w:sz w:val="20"/>
      <w:szCs w:val="20"/>
      <w:lang w:eastAsia="ru-RU"/>
    </w:rPr>
  </w:style>
  <w:style w:type="paragraph" w:styleId="3">
    <w:name w:val="Body Text Indent 3"/>
    <w:basedOn w:val="a4"/>
    <w:link w:val="32"/>
    <w:rsid w:val="007F6DBF"/>
    <w:pPr>
      <w:numPr>
        <w:ilvl w:val="3"/>
        <w:numId w:val="22"/>
      </w:numPr>
      <w:tabs>
        <w:tab w:val="clear" w:pos="1800"/>
      </w:tabs>
      <w:spacing w:line="360" w:lineRule="auto"/>
      <w:ind w:firstLine="567"/>
      <w:jc w:val="both"/>
    </w:pPr>
    <w:rPr>
      <w:color w:val="FF0000"/>
      <w:sz w:val="28"/>
      <w:szCs w:val="20"/>
    </w:rPr>
  </w:style>
  <w:style w:type="character" w:customStyle="1" w:styleId="32">
    <w:name w:val="Основной текст с отступом 3 Знак"/>
    <w:basedOn w:val="a5"/>
    <w:link w:val="3"/>
    <w:rsid w:val="007F6DBF"/>
    <w:rPr>
      <w:rFonts w:ascii="Times New Roman" w:eastAsia="Times New Roman" w:hAnsi="Times New Roman" w:cs="Times New Roman"/>
      <w:color w:val="FF0000"/>
      <w:sz w:val="28"/>
      <w:szCs w:val="20"/>
      <w:lang w:eastAsia="ru-RU"/>
    </w:rPr>
  </w:style>
  <w:style w:type="paragraph" w:customStyle="1" w:styleId="14">
    <w:name w:val="Обычный1"/>
    <w:rsid w:val="007F6DBF"/>
    <w:pPr>
      <w:spacing w:after="0" w:line="240" w:lineRule="auto"/>
    </w:pPr>
    <w:rPr>
      <w:rFonts w:ascii="AGOpus" w:eastAsia="Times New Roman" w:hAnsi="AGOpus" w:cs="Times New Roman"/>
      <w:color w:val="000000"/>
      <w:szCs w:val="20"/>
      <w:lang w:eastAsia="ru-RU"/>
    </w:rPr>
  </w:style>
  <w:style w:type="paragraph" w:customStyle="1" w:styleId="112">
    <w:name w:val="Заголовок 11"/>
    <w:basedOn w:val="14"/>
    <w:next w:val="15"/>
    <w:rsid w:val="007F6DBF"/>
    <w:pPr>
      <w:keepNext/>
      <w:keepLines/>
      <w:pBdr>
        <w:top w:val="single" w:sz="6" w:space="6" w:color="808080"/>
        <w:bottom w:val="single" w:sz="6" w:space="6" w:color="808080"/>
      </w:pBdr>
      <w:spacing w:after="240" w:line="240" w:lineRule="atLeast"/>
      <w:jc w:val="center"/>
    </w:pPr>
    <w:rPr>
      <w:rFonts w:ascii="Garamond" w:hAnsi="Garamond"/>
      <w:b/>
      <w:caps/>
      <w:color w:val="auto"/>
      <w:spacing w:val="20"/>
      <w:kern w:val="16"/>
      <w:sz w:val="18"/>
    </w:rPr>
  </w:style>
  <w:style w:type="paragraph" w:customStyle="1" w:styleId="15">
    <w:name w:val="Основной текст1"/>
    <w:basedOn w:val="14"/>
    <w:rsid w:val="007F6DBF"/>
    <w:pPr>
      <w:jc w:val="center"/>
    </w:pPr>
    <w:rPr>
      <w:sz w:val="36"/>
    </w:rPr>
  </w:style>
  <w:style w:type="paragraph" w:customStyle="1" w:styleId="210">
    <w:name w:val="Основной текст 21"/>
    <w:basedOn w:val="14"/>
    <w:rsid w:val="007F6DBF"/>
    <w:pPr>
      <w:ind w:left="720"/>
      <w:jc w:val="both"/>
    </w:pPr>
    <w:rPr>
      <w:rFonts w:ascii="Garamond" w:hAnsi="Garamond"/>
      <w:snapToGrid w:val="0"/>
      <w:sz w:val="28"/>
    </w:rPr>
  </w:style>
  <w:style w:type="paragraph" w:styleId="afd">
    <w:name w:val="footer"/>
    <w:basedOn w:val="a4"/>
    <w:link w:val="afe"/>
    <w:uiPriority w:val="99"/>
    <w:rsid w:val="007F6DBF"/>
    <w:pPr>
      <w:tabs>
        <w:tab w:val="center" w:pos="4677"/>
        <w:tab w:val="right" w:pos="9355"/>
      </w:tabs>
      <w:ind w:firstLine="720"/>
    </w:pPr>
    <w:rPr>
      <w:szCs w:val="20"/>
    </w:rPr>
  </w:style>
  <w:style w:type="character" w:customStyle="1" w:styleId="afe">
    <w:name w:val="Нижний колонтитул Знак"/>
    <w:basedOn w:val="a5"/>
    <w:link w:val="afd"/>
    <w:uiPriority w:val="99"/>
    <w:rsid w:val="007F6DBF"/>
    <w:rPr>
      <w:rFonts w:ascii="Times New Roman" w:eastAsia="Times New Roman" w:hAnsi="Times New Roman" w:cs="Times New Roman"/>
      <w:sz w:val="24"/>
      <w:szCs w:val="20"/>
      <w:lang w:eastAsia="ru-RU"/>
    </w:rPr>
  </w:style>
  <w:style w:type="paragraph" w:styleId="24">
    <w:name w:val="Body Text 2"/>
    <w:basedOn w:val="a4"/>
    <w:link w:val="25"/>
    <w:rsid w:val="007F6DBF"/>
    <w:pPr>
      <w:jc w:val="both"/>
    </w:pPr>
    <w:rPr>
      <w:szCs w:val="20"/>
    </w:rPr>
  </w:style>
  <w:style w:type="character" w:customStyle="1" w:styleId="25">
    <w:name w:val="Основной текст 2 Знак"/>
    <w:basedOn w:val="a5"/>
    <w:link w:val="24"/>
    <w:rsid w:val="007F6DBF"/>
    <w:rPr>
      <w:rFonts w:ascii="Times New Roman" w:eastAsia="Times New Roman" w:hAnsi="Times New Roman" w:cs="Times New Roman"/>
      <w:sz w:val="24"/>
      <w:szCs w:val="20"/>
      <w:lang w:eastAsia="ru-RU"/>
    </w:rPr>
  </w:style>
  <w:style w:type="paragraph" w:styleId="33">
    <w:name w:val="Body Text 3"/>
    <w:basedOn w:val="a4"/>
    <w:link w:val="34"/>
    <w:semiHidden/>
    <w:rsid w:val="007F6DBF"/>
    <w:pPr>
      <w:jc w:val="center"/>
    </w:pPr>
    <w:rPr>
      <w:bCs/>
      <w:iCs/>
      <w:szCs w:val="20"/>
    </w:rPr>
  </w:style>
  <w:style w:type="character" w:customStyle="1" w:styleId="34">
    <w:name w:val="Основной текст 3 Знак"/>
    <w:basedOn w:val="a5"/>
    <w:link w:val="33"/>
    <w:semiHidden/>
    <w:rsid w:val="007F6DBF"/>
    <w:rPr>
      <w:rFonts w:ascii="Times New Roman" w:eastAsia="Times New Roman" w:hAnsi="Times New Roman" w:cs="Times New Roman"/>
      <w:bCs/>
      <w:iCs/>
      <w:sz w:val="24"/>
      <w:szCs w:val="20"/>
      <w:lang w:eastAsia="ru-RU"/>
    </w:rPr>
  </w:style>
  <w:style w:type="character" w:customStyle="1" w:styleId="SUBST">
    <w:name w:val="__SUBST"/>
    <w:rsid w:val="007F6DBF"/>
    <w:rPr>
      <w:b/>
      <w:bCs/>
      <w:i/>
      <w:iCs/>
      <w:sz w:val="22"/>
      <w:szCs w:val="22"/>
    </w:rPr>
  </w:style>
  <w:style w:type="character" w:styleId="aff">
    <w:name w:val="FollowedHyperlink"/>
    <w:uiPriority w:val="99"/>
    <w:semiHidden/>
    <w:rsid w:val="007F6DBF"/>
    <w:rPr>
      <w:color w:val="800080"/>
      <w:u w:val="single"/>
    </w:rPr>
  </w:style>
  <w:style w:type="paragraph" w:customStyle="1" w:styleId="311">
    <w:name w:val="Заголовок 31"/>
    <w:rsid w:val="007F6DBF"/>
    <w:pPr>
      <w:widowControl w:val="0"/>
      <w:autoSpaceDE w:val="0"/>
      <w:autoSpaceDN w:val="0"/>
      <w:adjustRightInd w:val="0"/>
      <w:spacing w:before="240" w:after="40" w:line="240" w:lineRule="auto"/>
    </w:pPr>
    <w:rPr>
      <w:rFonts w:ascii="Times New Roman" w:eastAsia="Times New Roman" w:hAnsi="Times New Roman" w:cs="Times New Roman"/>
      <w:b/>
      <w:bCs/>
      <w:lang w:eastAsia="ru-RU"/>
    </w:rPr>
  </w:style>
  <w:style w:type="paragraph" w:styleId="aff0">
    <w:name w:val="Plain Text"/>
    <w:aliases w:val="Текст Знак Знак Знак Знак Знак Знак Знак Знак Знак Знак"/>
    <w:basedOn w:val="a4"/>
    <w:link w:val="aff1"/>
    <w:semiHidden/>
    <w:rsid w:val="007F6DBF"/>
    <w:rPr>
      <w:rFonts w:ascii="Courier New" w:hAnsi="Courier New"/>
      <w:sz w:val="20"/>
      <w:szCs w:val="20"/>
    </w:rPr>
  </w:style>
  <w:style w:type="character" w:customStyle="1" w:styleId="aff1">
    <w:name w:val="Текст Знак"/>
    <w:aliases w:val="Текст Знак Знак Знак Знак Знак Знак Знак Знак Знак Знак Знак"/>
    <w:basedOn w:val="a5"/>
    <w:link w:val="aff0"/>
    <w:semiHidden/>
    <w:rsid w:val="007F6DBF"/>
    <w:rPr>
      <w:rFonts w:ascii="Courier New" w:eastAsia="Times New Roman" w:hAnsi="Courier New" w:cs="Times New Roman"/>
      <w:sz w:val="20"/>
      <w:szCs w:val="20"/>
      <w:lang w:eastAsia="ru-RU"/>
    </w:rPr>
  </w:style>
  <w:style w:type="paragraph" w:customStyle="1" w:styleId="ConsNormal">
    <w:name w:val="ConsNormal"/>
    <w:rsid w:val="007F6DB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35">
    <w:name w:val="заголовок 3"/>
    <w:basedOn w:val="a4"/>
    <w:next w:val="a4"/>
    <w:rsid w:val="007F6DBF"/>
    <w:pPr>
      <w:keepNext/>
      <w:tabs>
        <w:tab w:val="num" w:pos="360"/>
        <w:tab w:val="num" w:pos="576"/>
      </w:tabs>
      <w:spacing w:before="60" w:after="60"/>
      <w:ind w:left="576" w:hanging="576"/>
    </w:pPr>
    <w:rPr>
      <w:rFonts w:ascii="Arial" w:hAnsi="Arial"/>
      <w:b/>
      <w:sz w:val="26"/>
      <w:szCs w:val="20"/>
    </w:rPr>
  </w:style>
  <w:style w:type="paragraph" w:styleId="aff2">
    <w:name w:val="List Number"/>
    <w:basedOn w:val="a4"/>
    <w:semiHidden/>
    <w:rsid w:val="007F6DBF"/>
    <w:pPr>
      <w:spacing w:after="240" w:line="240" w:lineRule="atLeast"/>
      <w:ind w:right="720"/>
      <w:jc w:val="both"/>
    </w:pPr>
    <w:rPr>
      <w:rFonts w:ascii="Garamond" w:hAnsi="Garamond"/>
      <w:szCs w:val="20"/>
    </w:rPr>
  </w:style>
  <w:style w:type="paragraph" w:customStyle="1" w:styleId="ConsNonformat">
    <w:name w:val="ConsNonformat"/>
    <w:rsid w:val="007F6DB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Cell">
    <w:name w:val="ConsCell"/>
    <w:rsid w:val="007F6DB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3">
    <w:name w:val="Subtitle"/>
    <w:basedOn w:val="a4"/>
    <w:link w:val="aff4"/>
    <w:qFormat/>
    <w:rsid w:val="007F6DBF"/>
    <w:pPr>
      <w:jc w:val="both"/>
    </w:pPr>
    <w:rPr>
      <w:szCs w:val="20"/>
    </w:rPr>
  </w:style>
  <w:style w:type="character" w:customStyle="1" w:styleId="aff4">
    <w:name w:val="Подзаголовок Знак"/>
    <w:basedOn w:val="a5"/>
    <w:link w:val="aff3"/>
    <w:rsid w:val="007F6DBF"/>
    <w:rPr>
      <w:rFonts w:ascii="Times New Roman" w:eastAsia="Times New Roman" w:hAnsi="Times New Roman" w:cs="Times New Roman"/>
      <w:sz w:val="24"/>
      <w:szCs w:val="20"/>
      <w:lang w:eastAsia="ru-RU"/>
    </w:rPr>
  </w:style>
  <w:style w:type="character" w:styleId="aff5">
    <w:name w:val="footnote reference"/>
    <w:semiHidden/>
    <w:rsid w:val="007F6DBF"/>
    <w:rPr>
      <w:vertAlign w:val="superscript"/>
    </w:rPr>
  </w:style>
  <w:style w:type="paragraph" w:customStyle="1" w:styleId="xl24">
    <w:name w:val="xl24"/>
    <w:basedOn w:val="a4"/>
    <w:rsid w:val="007F6DBF"/>
    <w:pPr>
      <w:spacing w:before="100" w:beforeAutospacing="1" w:after="100" w:afterAutospacing="1"/>
    </w:pPr>
    <w:rPr>
      <w:rFonts w:eastAsia="Arial Unicode MS"/>
    </w:rPr>
  </w:style>
  <w:style w:type="paragraph" w:customStyle="1" w:styleId="SubHeading">
    <w:name w:val="Sub Heading"/>
    <w:rsid w:val="007F6DBF"/>
    <w:pPr>
      <w:widowControl w:val="0"/>
      <w:autoSpaceDE w:val="0"/>
      <w:autoSpaceDN w:val="0"/>
      <w:adjustRightInd w:val="0"/>
      <w:spacing w:before="80" w:after="20" w:line="240" w:lineRule="auto"/>
    </w:pPr>
    <w:rPr>
      <w:rFonts w:ascii="Times New Roman" w:eastAsia="Times New Roman" w:hAnsi="Times New Roman" w:cs="Times New Roman"/>
      <w:sz w:val="20"/>
      <w:szCs w:val="20"/>
      <w:lang w:eastAsia="ru-RU"/>
    </w:rPr>
  </w:style>
  <w:style w:type="paragraph" w:customStyle="1" w:styleId="aff6">
    <w:name w:val="Знак"/>
    <w:basedOn w:val="a4"/>
    <w:rsid w:val="007F6DBF"/>
    <w:pPr>
      <w:spacing w:after="160" w:line="240" w:lineRule="exact"/>
    </w:pPr>
    <w:rPr>
      <w:rFonts w:ascii="Verdana" w:hAnsi="Verdana" w:cs="Verdana"/>
      <w:sz w:val="20"/>
      <w:szCs w:val="20"/>
      <w:lang w:val="en-US" w:eastAsia="en-US"/>
    </w:rPr>
  </w:style>
  <w:style w:type="paragraph" w:customStyle="1" w:styleId="16">
    <w:name w:val="Цитата1"/>
    <w:basedOn w:val="a4"/>
    <w:rsid w:val="007F6DBF"/>
    <w:pPr>
      <w:widowControl w:val="0"/>
      <w:spacing w:line="300" w:lineRule="auto"/>
      <w:ind w:left="760" w:right="1004" w:hanging="420"/>
      <w:jc w:val="both"/>
    </w:pPr>
    <w:rPr>
      <w:szCs w:val="20"/>
    </w:rPr>
  </w:style>
  <w:style w:type="paragraph" w:styleId="26">
    <w:name w:val="toc 2"/>
    <w:basedOn w:val="a4"/>
    <w:next w:val="a4"/>
    <w:autoRedefine/>
    <w:semiHidden/>
    <w:rsid w:val="007F6DBF"/>
    <w:pPr>
      <w:tabs>
        <w:tab w:val="right" w:leader="dot" w:pos="8364"/>
      </w:tabs>
      <w:spacing w:line="360" w:lineRule="auto"/>
      <w:jc w:val="center"/>
    </w:pPr>
    <w:rPr>
      <w:b/>
      <w:bCs/>
    </w:rPr>
  </w:style>
  <w:style w:type="paragraph" w:customStyle="1" w:styleId="Iauiue">
    <w:name w:val="Iau?iue"/>
    <w:rsid w:val="007F6DBF"/>
    <w:pPr>
      <w:spacing w:after="0" w:line="240" w:lineRule="auto"/>
    </w:pPr>
    <w:rPr>
      <w:rFonts w:ascii="Times New Roman" w:eastAsia="Times New Roman" w:hAnsi="Times New Roman" w:cs="Times New Roman"/>
      <w:sz w:val="20"/>
      <w:szCs w:val="20"/>
      <w:lang w:eastAsia="ru-RU"/>
    </w:rPr>
  </w:style>
  <w:style w:type="paragraph" w:customStyle="1" w:styleId="17">
    <w:name w:val="Знак1"/>
    <w:basedOn w:val="a4"/>
    <w:rsid w:val="007F6DBF"/>
    <w:pPr>
      <w:spacing w:after="160" w:line="240" w:lineRule="exact"/>
    </w:pPr>
    <w:rPr>
      <w:rFonts w:ascii="Verdana" w:hAnsi="Verdana" w:cs="Verdana"/>
      <w:sz w:val="20"/>
      <w:szCs w:val="20"/>
      <w:lang w:val="en-US" w:eastAsia="en-US"/>
    </w:rPr>
  </w:style>
  <w:style w:type="paragraph" w:customStyle="1" w:styleId="DefaultParagraphFontParaCharChar">
    <w:name w:val="Default Paragraph Font Para Char Char Знак"/>
    <w:basedOn w:val="a4"/>
    <w:rsid w:val="007F6DBF"/>
    <w:pPr>
      <w:spacing w:after="160" w:line="240" w:lineRule="exact"/>
    </w:pPr>
    <w:rPr>
      <w:rFonts w:ascii="Verdana" w:hAnsi="Verdana" w:cs="Verdana"/>
      <w:sz w:val="20"/>
      <w:szCs w:val="20"/>
      <w:lang w:val="en-US" w:eastAsia="en-US"/>
    </w:rPr>
  </w:style>
  <w:style w:type="paragraph" w:customStyle="1" w:styleId="a0">
    <w:name w:val="Пункт Знак"/>
    <w:basedOn w:val="a4"/>
    <w:rsid w:val="007F6DBF"/>
    <w:pPr>
      <w:numPr>
        <w:ilvl w:val="1"/>
        <w:numId w:val="19"/>
      </w:numPr>
      <w:tabs>
        <w:tab w:val="left" w:pos="851"/>
        <w:tab w:val="left" w:pos="1134"/>
      </w:tabs>
      <w:spacing w:line="360" w:lineRule="auto"/>
      <w:jc w:val="both"/>
    </w:pPr>
    <w:rPr>
      <w:snapToGrid w:val="0"/>
      <w:sz w:val="28"/>
      <w:szCs w:val="20"/>
    </w:rPr>
  </w:style>
  <w:style w:type="paragraph" w:customStyle="1" w:styleId="a1">
    <w:name w:val="Подпункт"/>
    <w:basedOn w:val="a0"/>
    <w:rsid w:val="007F6DBF"/>
    <w:pPr>
      <w:numPr>
        <w:ilvl w:val="2"/>
      </w:numPr>
      <w:tabs>
        <w:tab w:val="clear" w:pos="1134"/>
      </w:tabs>
    </w:pPr>
  </w:style>
  <w:style w:type="paragraph" w:customStyle="1" w:styleId="a2">
    <w:name w:val="Подподпункт"/>
    <w:basedOn w:val="a1"/>
    <w:rsid w:val="007F6DBF"/>
    <w:pPr>
      <w:numPr>
        <w:ilvl w:val="3"/>
      </w:numPr>
      <w:tabs>
        <w:tab w:val="left" w:pos="1134"/>
        <w:tab w:val="left" w:pos="1418"/>
      </w:tabs>
    </w:pPr>
    <w:rPr>
      <w:snapToGrid/>
    </w:rPr>
  </w:style>
  <w:style w:type="paragraph" w:customStyle="1" w:styleId="a3">
    <w:name w:val="Подподподпункт"/>
    <w:basedOn w:val="a4"/>
    <w:rsid w:val="007F6DBF"/>
    <w:pPr>
      <w:numPr>
        <w:ilvl w:val="4"/>
        <w:numId w:val="19"/>
      </w:numPr>
      <w:tabs>
        <w:tab w:val="left" w:pos="1134"/>
        <w:tab w:val="left" w:pos="1701"/>
      </w:tabs>
      <w:spacing w:line="360" w:lineRule="auto"/>
      <w:jc w:val="both"/>
    </w:pPr>
    <w:rPr>
      <w:snapToGrid w:val="0"/>
      <w:sz w:val="28"/>
      <w:szCs w:val="20"/>
    </w:rPr>
  </w:style>
  <w:style w:type="paragraph" w:customStyle="1" w:styleId="1">
    <w:name w:val="Пункт1"/>
    <w:basedOn w:val="a4"/>
    <w:rsid w:val="007F6DBF"/>
    <w:pPr>
      <w:numPr>
        <w:numId w:val="19"/>
      </w:numPr>
      <w:spacing w:before="240" w:line="360" w:lineRule="auto"/>
      <w:jc w:val="center"/>
    </w:pPr>
    <w:rPr>
      <w:rFonts w:ascii="Arial" w:hAnsi="Arial"/>
      <w:b/>
      <w:snapToGrid w:val="0"/>
      <w:sz w:val="28"/>
      <w:szCs w:val="28"/>
    </w:rPr>
  </w:style>
  <w:style w:type="paragraph" w:styleId="aff7">
    <w:name w:val="footnote text"/>
    <w:basedOn w:val="a4"/>
    <w:link w:val="aff8"/>
    <w:semiHidden/>
    <w:rsid w:val="007F6DBF"/>
    <w:rPr>
      <w:sz w:val="20"/>
      <w:szCs w:val="20"/>
    </w:rPr>
  </w:style>
  <w:style w:type="character" w:customStyle="1" w:styleId="aff8">
    <w:name w:val="Текст сноски Знак"/>
    <w:basedOn w:val="a5"/>
    <w:link w:val="aff7"/>
    <w:semiHidden/>
    <w:rsid w:val="007F6DBF"/>
    <w:rPr>
      <w:rFonts w:ascii="Times New Roman" w:eastAsia="Times New Roman" w:hAnsi="Times New Roman" w:cs="Times New Roman"/>
      <w:sz w:val="20"/>
      <w:szCs w:val="20"/>
      <w:lang w:eastAsia="ru-RU"/>
    </w:rPr>
  </w:style>
  <w:style w:type="paragraph" w:customStyle="1" w:styleId="ConsPlusTitle">
    <w:name w:val="ConsPlusTitle"/>
    <w:rsid w:val="007F6DB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8">
    <w:name w:val="Ñòèëü1"/>
    <w:basedOn w:val="a4"/>
    <w:rsid w:val="007F6DBF"/>
    <w:pPr>
      <w:widowControl w:val="0"/>
      <w:adjustRightInd w:val="0"/>
      <w:spacing w:line="360" w:lineRule="atLeast"/>
      <w:ind w:right="851" w:firstLine="709"/>
      <w:jc w:val="both"/>
      <w:textAlignment w:val="baseline"/>
    </w:pPr>
    <w:rPr>
      <w:sz w:val="28"/>
      <w:szCs w:val="20"/>
    </w:rPr>
  </w:style>
  <w:style w:type="character" w:styleId="aff9">
    <w:name w:val="Strong"/>
    <w:qFormat/>
    <w:rsid w:val="007F6DBF"/>
    <w:rPr>
      <w:b/>
      <w:bCs/>
    </w:rPr>
  </w:style>
  <w:style w:type="paragraph" w:customStyle="1" w:styleId="affa">
    <w:name w:val="Изобр по центру"/>
    <w:basedOn w:val="a4"/>
    <w:rsid w:val="007F6DBF"/>
    <w:pPr>
      <w:widowControl w:val="0"/>
      <w:jc w:val="center"/>
    </w:pPr>
    <w:rPr>
      <w:bCs/>
    </w:rPr>
  </w:style>
  <w:style w:type="character" w:customStyle="1" w:styleId="affb">
    <w:name w:val="Изобр по центру Знак"/>
    <w:rsid w:val="007F6DBF"/>
    <w:rPr>
      <w:bCs/>
      <w:sz w:val="24"/>
      <w:szCs w:val="24"/>
      <w:lang w:val="ru-RU" w:eastAsia="ru-RU" w:bidi="ar-SA"/>
    </w:rPr>
  </w:style>
  <w:style w:type="paragraph" w:styleId="affc">
    <w:name w:val="No Spacing"/>
    <w:uiPriority w:val="1"/>
    <w:qFormat/>
    <w:rsid w:val="007F6DBF"/>
    <w:pPr>
      <w:spacing w:after="0" w:line="240" w:lineRule="auto"/>
    </w:pPr>
    <w:rPr>
      <w:rFonts w:ascii="Calibri" w:eastAsia="Calibri" w:hAnsi="Calibri" w:cs="Times New Roman"/>
    </w:rPr>
  </w:style>
  <w:style w:type="paragraph" w:styleId="affd">
    <w:name w:val="Block Text"/>
    <w:basedOn w:val="a4"/>
    <w:semiHidden/>
    <w:rsid w:val="007F6DBF"/>
    <w:pPr>
      <w:widowControl w:val="0"/>
      <w:ind w:left="520" w:right="17"/>
      <w:jc w:val="both"/>
    </w:pPr>
    <w:rPr>
      <w:snapToGrid w:val="0"/>
      <w:sz w:val="26"/>
      <w:szCs w:val="20"/>
    </w:rPr>
  </w:style>
  <w:style w:type="paragraph" w:customStyle="1" w:styleId="19">
    <w:name w:val="Знак1 Знак Знак Знак"/>
    <w:basedOn w:val="a4"/>
    <w:rsid w:val="007F6DBF"/>
    <w:pPr>
      <w:spacing w:after="160" w:line="240" w:lineRule="exact"/>
    </w:pPr>
    <w:rPr>
      <w:rFonts w:ascii="Verdana" w:hAnsi="Verdana" w:cs="Verdana"/>
      <w:sz w:val="20"/>
      <w:szCs w:val="20"/>
      <w:lang w:val="en-US" w:eastAsia="en-US"/>
    </w:rPr>
  </w:style>
  <w:style w:type="paragraph" w:customStyle="1" w:styleId="affe">
    <w:name w:val="Знак Знак"/>
    <w:basedOn w:val="a4"/>
    <w:rsid w:val="007F6DBF"/>
    <w:pPr>
      <w:spacing w:after="160" w:line="240" w:lineRule="exact"/>
    </w:pPr>
    <w:rPr>
      <w:rFonts w:ascii="Verdana" w:hAnsi="Verdana" w:cs="Verdana"/>
      <w:sz w:val="20"/>
      <w:szCs w:val="20"/>
      <w:lang w:val="en-US" w:eastAsia="en-US"/>
    </w:rPr>
  </w:style>
  <w:style w:type="paragraph" w:customStyle="1" w:styleId="27">
    <w:name w:val="Знак2"/>
    <w:basedOn w:val="a4"/>
    <w:rsid w:val="007F6DBF"/>
    <w:pPr>
      <w:spacing w:after="160" w:line="240" w:lineRule="exact"/>
    </w:pPr>
    <w:rPr>
      <w:rFonts w:ascii="Verdana" w:hAnsi="Verdana" w:cs="Verdana"/>
      <w:sz w:val="20"/>
      <w:szCs w:val="20"/>
      <w:lang w:val="en-US" w:eastAsia="en-US"/>
    </w:rPr>
  </w:style>
  <w:style w:type="paragraph" w:customStyle="1" w:styleId="1a">
    <w:name w:val="Знак Знак Знак1 Знак Знак Знак Знак Знак Знак Знак Знак Знак Знак"/>
    <w:basedOn w:val="a4"/>
    <w:rsid w:val="007F6DBF"/>
    <w:pPr>
      <w:spacing w:after="160" w:line="240" w:lineRule="exact"/>
    </w:pPr>
    <w:rPr>
      <w:rFonts w:ascii="Verdana" w:hAnsi="Verdana" w:cs="Verdana"/>
      <w:sz w:val="20"/>
      <w:szCs w:val="20"/>
      <w:lang w:val="en-US" w:eastAsia="en-US"/>
    </w:rPr>
  </w:style>
  <w:style w:type="paragraph" w:styleId="afff">
    <w:name w:val="caption"/>
    <w:basedOn w:val="a4"/>
    <w:next w:val="a4"/>
    <w:qFormat/>
    <w:rsid w:val="007F6DBF"/>
    <w:rPr>
      <w:b/>
      <w:bCs/>
      <w:sz w:val="20"/>
      <w:szCs w:val="20"/>
    </w:rPr>
  </w:style>
  <w:style w:type="paragraph" w:customStyle="1" w:styleId="afff0">
    <w:name w:val="Îñíîâíîé òåêñò"/>
    <w:basedOn w:val="a4"/>
    <w:rsid w:val="007F6DBF"/>
    <w:pPr>
      <w:widowControl w:val="0"/>
      <w:tabs>
        <w:tab w:val="left" w:pos="709"/>
      </w:tabs>
      <w:jc w:val="both"/>
    </w:pPr>
    <w:rPr>
      <w:rFonts w:ascii="a_FuturaOrto" w:hAnsi="a_FuturaOrto"/>
      <w:color w:val="000000"/>
      <w:szCs w:val="20"/>
    </w:rPr>
  </w:style>
  <w:style w:type="character" w:customStyle="1" w:styleId="Subst0">
    <w:name w:val="Subst"/>
    <w:uiPriority w:val="99"/>
    <w:rsid w:val="007F6DBF"/>
    <w:rPr>
      <w:b/>
      <w:i/>
    </w:rPr>
  </w:style>
  <w:style w:type="paragraph" w:styleId="28">
    <w:name w:val="List 2"/>
    <w:basedOn w:val="a4"/>
    <w:semiHidden/>
    <w:rsid w:val="007F6DBF"/>
    <w:pPr>
      <w:ind w:left="566" w:hanging="283"/>
    </w:pPr>
  </w:style>
  <w:style w:type="character" w:customStyle="1" w:styleId="ei1">
    <w:name w:val="ei1"/>
    <w:basedOn w:val="a5"/>
    <w:rsid w:val="007F6DBF"/>
  </w:style>
  <w:style w:type="paragraph" w:customStyle="1" w:styleId="Style3">
    <w:name w:val="Style3"/>
    <w:basedOn w:val="a4"/>
    <w:rsid w:val="007F6DBF"/>
    <w:pPr>
      <w:widowControl w:val="0"/>
      <w:autoSpaceDE w:val="0"/>
      <w:autoSpaceDN w:val="0"/>
      <w:adjustRightInd w:val="0"/>
      <w:ind w:firstLine="709"/>
      <w:jc w:val="right"/>
    </w:pPr>
    <w:rPr>
      <w:rFonts w:ascii="Courier New" w:hAnsi="Courier New" w:cs="Courier New"/>
      <w:lang w:eastAsia="en-US"/>
    </w:rPr>
  </w:style>
  <w:style w:type="paragraph" w:customStyle="1" w:styleId="hd">
    <w:name w:val="Верхний колонтитул.hd"/>
    <w:basedOn w:val="a4"/>
    <w:rsid w:val="007F6DBF"/>
    <w:pPr>
      <w:widowControl w:val="0"/>
      <w:tabs>
        <w:tab w:val="center" w:pos="4153"/>
        <w:tab w:val="right" w:pos="8306"/>
      </w:tabs>
      <w:autoSpaceDE w:val="0"/>
      <w:autoSpaceDN w:val="0"/>
      <w:spacing w:before="40"/>
      <w:ind w:left="200"/>
    </w:pPr>
    <w:rPr>
      <w:sz w:val="22"/>
      <w:szCs w:val="22"/>
    </w:rPr>
  </w:style>
  <w:style w:type="character" w:customStyle="1" w:styleId="29">
    <w:name w:val="Знак Знак2"/>
    <w:rsid w:val="007F6DBF"/>
    <w:rPr>
      <w:sz w:val="24"/>
      <w:lang w:val="ru-RU" w:eastAsia="ru-RU" w:bidi="ar-SA"/>
    </w:rPr>
  </w:style>
  <w:style w:type="character" w:customStyle="1" w:styleId="1b">
    <w:name w:val="Знак Знак1"/>
    <w:rsid w:val="007F6DBF"/>
    <w:rPr>
      <w:i/>
      <w:sz w:val="28"/>
      <w:u w:val="single"/>
      <w:lang w:val="ru-RU" w:eastAsia="ru-RU" w:bidi="ar-SA"/>
    </w:rPr>
  </w:style>
  <w:style w:type="paragraph" w:styleId="1c">
    <w:name w:val="toc 1"/>
    <w:basedOn w:val="a4"/>
    <w:next w:val="a4"/>
    <w:autoRedefine/>
    <w:uiPriority w:val="39"/>
    <w:rsid w:val="007F6DBF"/>
  </w:style>
  <w:style w:type="paragraph" w:customStyle="1" w:styleId="prilozhenieglava">
    <w:name w:val="prilozhenie glava"/>
    <w:basedOn w:val="a4"/>
    <w:rsid w:val="007F6DBF"/>
    <w:pPr>
      <w:spacing w:before="240" w:after="240"/>
      <w:jc w:val="center"/>
    </w:pPr>
    <w:rPr>
      <w:b/>
      <w:bCs/>
      <w:caps/>
      <w:lang w:eastAsia="en-US"/>
    </w:rPr>
  </w:style>
  <w:style w:type="paragraph" w:customStyle="1" w:styleId="afff1">
    <w:name w:val="Обзор"/>
    <w:basedOn w:val="a4"/>
    <w:rsid w:val="007F6DBF"/>
    <w:pPr>
      <w:ind w:firstLine="397"/>
      <w:jc w:val="both"/>
    </w:pPr>
  </w:style>
  <w:style w:type="table" w:customStyle="1" w:styleId="1d">
    <w:name w:val="Сетка таблицы1"/>
    <w:basedOn w:val="a6"/>
    <w:next w:val="af2"/>
    <w:uiPriority w:val="59"/>
    <w:rsid w:val="007F6DB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rsid w:val="007F6DBF"/>
  </w:style>
  <w:style w:type="table" w:customStyle="1" w:styleId="113">
    <w:name w:val="Сетка таблицы11"/>
    <w:basedOn w:val="a6"/>
    <w:next w:val="af2"/>
    <w:uiPriority w:val="59"/>
    <w:rsid w:val="007F6DB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a">
    <w:name w:val="Знак Знак2 Знак Знак"/>
    <w:basedOn w:val="a4"/>
    <w:rsid w:val="007F6DBF"/>
    <w:pPr>
      <w:tabs>
        <w:tab w:val="num" w:pos="1287"/>
      </w:tabs>
      <w:spacing w:after="160" w:line="240" w:lineRule="exact"/>
      <w:ind w:left="1287" w:hanging="720"/>
      <w:jc w:val="both"/>
    </w:pPr>
    <w:rPr>
      <w:rFonts w:ascii="Verdana" w:hAnsi="Verdana" w:cs="Arial"/>
      <w:sz w:val="20"/>
      <w:szCs w:val="20"/>
      <w:lang w:val="en-US" w:eastAsia="en-US"/>
    </w:rPr>
  </w:style>
  <w:style w:type="paragraph" w:customStyle="1" w:styleId="NumHead2">
    <w:name w:val="NumHead 2"/>
    <w:basedOn w:val="a4"/>
    <w:next w:val="a4"/>
    <w:rsid w:val="007F6DBF"/>
    <w:pPr>
      <w:keepNext/>
      <w:keepLines/>
      <w:tabs>
        <w:tab w:val="num" w:pos="360"/>
        <w:tab w:val="num" w:pos="720"/>
        <w:tab w:val="left" w:pos="1008"/>
        <w:tab w:val="num" w:pos="1440"/>
        <w:tab w:val="num" w:pos="2574"/>
      </w:tabs>
      <w:spacing w:before="360" w:line="270" w:lineRule="atLeast"/>
      <w:ind w:left="1008" w:hanging="1008"/>
    </w:pPr>
    <w:rPr>
      <w:rFonts w:ascii="Arial" w:hAnsi="Arial"/>
      <w:b/>
      <w:sz w:val="22"/>
      <w:szCs w:val="22"/>
      <w:lang w:val="en-GB" w:eastAsia="en-US"/>
    </w:rPr>
  </w:style>
  <w:style w:type="table" w:customStyle="1" w:styleId="2b">
    <w:name w:val="Сетка таблицы2"/>
    <w:basedOn w:val="a6"/>
    <w:next w:val="af2"/>
    <w:uiPriority w:val="59"/>
    <w:rsid w:val="007F6DBF"/>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6"/>
    <w:next w:val="af2"/>
    <w:uiPriority w:val="59"/>
    <w:rsid w:val="006476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6"/>
    <w:next w:val="af2"/>
    <w:uiPriority w:val="59"/>
    <w:rsid w:val="00771B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7"/>
    <w:uiPriority w:val="99"/>
    <w:semiHidden/>
    <w:unhideWhenUsed/>
    <w:rsid w:val="00C649E3"/>
  </w:style>
  <w:style w:type="character" w:customStyle="1" w:styleId="1e">
    <w:name w:val="Основной текст Знак1"/>
    <w:aliases w:val="body text Знак1"/>
    <w:basedOn w:val="a5"/>
    <w:semiHidden/>
    <w:rsid w:val="00C649E3"/>
    <w:rPr>
      <w:rFonts w:ascii="Times New Roman" w:eastAsia="Times New Roman" w:hAnsi="Times New Roman" w:cs="Times New Roman"/>
      <w:sz w:val="24"/>
      <w:szCs w:val="24"/>
      <w:lang w:eastAsia="ru-RU"/>
    </w:rPr>
  </w:style>
  <w:style w:type="character" w:customStyle="1" w:styleId="1f">
    <w:name w:val="Текст Знак1"/>
    <w:aliases w:val="Текст Знак Знак Знак Знак Знак Знак Знак Знак Знак Знак Знак1"/>
    <w:basedOn w:val="a5"/>
    <w:semiHidden/>
    <w:rsid w:val="00C649E3"/>
    <w:rPr>
      <w:rFonts w:ascii="Consolas" w:eastAsia="Times New Roman" w:hAnsi="Consolas" w:cs="Consolas"/>
      <w:sz w:val="21"/>
      <w:szCs w:val="21"/>
      <w:lang w:eastAsia="ru-RU"/>
    </w:rPr>
  </w:style>
  <w:style w:type="table" w:customStyle="1" w:styleId="51">
    <w:name w:val="Сетка таблицы5"/>
    <w:basedOn w:val="a6"/>
    <w:next w:val="af2"/>
    <w:uiPriority w:val="59"/>
    <w:rsid w:val="00C649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uiPriority w:val="59"/>
    <w:rsid w:val="00C649E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6"/>
    <w:uiPriority w:val="59"/>
    <w:rsid w:val="00C649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6"/>
    <w:uiPriority w:val="59"/>
    <w:rsid w:val="00C649E3"/>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0" w:qFormat="1"/>
    <w:lsdException w:name="footnote reference" w:uiPriority="0"/>
    <w:lsdException w:name="annotation reference" w:uiPriority="0"/>
    <w:lsdException w:name="page number" w:uiPriority="0"/>
    <w:lsdException w:name="List Number"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AD1F84"/>
    <w:pPr>
      <w:spacing w:after="0" w:line="240" w:lineRule="auto"/>
    </w:pPr>
    <w:rPr>
      <w:rFonts w:ascii="Times New Roman" w:eastAsia="Times New Roman" w:hAnsi="Times New Roman" w:cs="Times New Roman"/>
      <w:sz w:val="24"/>
      <w:szCs w:val="24"/>
      <w:lang w:eastAsia="ru-RU"/>
    </w:rPr>
  </w:style>
  <w:style w:type="paragraph" w:styleId="10">
    <w:name w:val="heading 1"/>
    <w:basedOn w:val="a4"/>
    <w:next w:val="a4"/>
    <w:link w:val="11"/>
    <w:qFormat/>
    <w:rsid w:val="007F6DBF"/>
    <w:pPr>
      <w:keepNext/>
      <w:spacing w:before="240" w:after="60"/>
      <w:outlineLvl w:val="0"/>
    </w:pPr>
    <w:rPr>
      <w:rFonts w:ascii="Arial" w:hAnsi="Arial" w:cs="Arial"/>
      <w:b/>
      <w:bCs/>
      <w:kern w:val="32"/>
      <w:sz w:val="32"/>
      <w:szCs w:val="32"/>
    </w:rPr>
  </w:style>
  <w:style w:type="paragraph" w:styleId="20">
    <w:name w:val="heading 2"/>
    <w:basedOn w:val="a4"/>
    <w:next w:val="a4"/>
    <w:link w:val="21"/>
    <w:qFormat/>
    <w:rsid w:val="007F6DBF"/>
    <w:pPr>
      <w:keepNext/>
      <w:spacing w:line="360" w:lineRule="auto"/>
      <w:ind w:firstLine="118"/>
      <w:jc w:val="both"/>
      <w:outlineLvl w:val="1"/>
    </w:pPr>
    <w:rPr>
      <w:sz w:val="28"/>
      <w:szCs w:val="20"/>
    </w:rPr>
  </w:style>
  <w:style w:type="paragraph" w:styleId="30">
    <w:name w:val="heading 3"/>
    <w:basedOn w:val="a4"/>
    <w:next w:val="a4"/>
    <w:link w:val="31"/>
    <w:qFormat/>
    <w:rsid w:val="007F6DBF"/>
    <w:pPr>
      <w:keepNext/>
      <w:ind w:firstLine="567"/>
      <w:jc w:val="center"/>
      <w:outlineLvl w:val="2"/>
    </w:pPr>
    <w:rPr>
      <w:sz w:val="28"/>
      <w:szCs w:val="20"/>
    </w:rPr>
  </w:style>
  <w:style w:type="paragraph" w:styleId="4">
    <w:name w:val="heading 4"/>
    <w:basedOn w:val="a4"/>
    <w:next w:val="a4"/>
    <w:link w:val="40"/>
    <w:qFormat/>
    <w:rsid w:val="007F6DBF"/>
    <w:pPr>
      <w:keepNext/>
      <w:jc w:val="center"/>
      <w:outlineLvl w:val="3"/>
    </w:pPr>
    <w:rPr>
      <w:b/>
      <w:bCs/>
      <w:sz w:val="20"/>
      <w:szCs w:val="20"/>
    </w:rPr>
  </w:style>
  <w:style w:type="paragraph" w:styleId="5">
    <w:name w:val="heading 5"/>
    <w:basedOn w:val="a4"/>
    <w:next w:val="a4"/>
    <w:link w:val="50"/>
    <w:qFormat/>
    <w:rsid w:val="007F6DBF"/>
    <w:pPr>
      <w:keepNext/>
      <w:ind w:firstLine="567"/>
      <w:jc w:val="center"/>
      <w:outlineLvl w:val="4"/>
    </w:pPr>
    <w:rPr>
      <w:b/>
      <w:bCs/>
      <w:sz w:val="26"/>
      <w:szCs w:val="20"/>
    </w:rPr>
  </w:style>
  <w:style w:type="paragraph" w:styleId="6">
    <w:name w:val="heading 6"/>
    <w:basedOn w:val="a4"/>
    <w:next w:val="a4"/>
    <w:link w:val="60"/>
    <w:qFormat/>
    <w:rsid w:val="007F6DBF"/>
    <w:pPr>
      <w:keepNext/>
      <w:jc w:val="center"/>
      <w:outlineLvl w:val="5"/>
    </w:pPr>
    <w:rPr>
      <w:b/>
      <w:iCs/>
      <w:sz w:val="26"/>
      <w:szCs w:val="20"/>
    </w:rPr>
  </w:style>
  <w:style w:type="paragraph" w:styleId="7">
    <w:name w:val="heading 7"/>
    <w:basedOn w:val="a4"/>
    <w:next w:val="a4"/>
    <w:link w:val="70"/>
    <w:qFormat/>
    <w:rsid w:val="007F6DBF"/>
    <w:pPr>
      <w:keepNext/>
      <w:jc w:val="both"/>
      <w:outlineLvl w:val="6"/>
    </w:pPr>
    <w:rPr>
      <w:szCs w:val="20"/>
    </w:rPr>
  </w:style>
  <w:style w:type="paragraph" w:styleId="8">
    <w:name w:val="heading 8"/>
    <w:basedOn w:val="a4"/>
    <w:next w:val="a4"/>
    <w:link w:val="80"/>
    <w:qFormat/>
    <w:rsid w:val="007F6DBF"/>
    <w:pPr>
      <w:keepNext/>
      <w:numPr>
        <w:numId w:val="18"/>
      </w:numPr>
      <w:outlineLvl w:val="7"/>
    </w:pPr>
    <w:rPr>
      <w:b/>
      <w:iCs/>
      <w:sz w:val="28"/>
      <w:szCs w:val="20"/>
    </w:rPr>
  </w:style>
  <w:style w:type="paragraph" w:styleId="9">
    <w:name w:val="heading 9"/>
    <w:basedOn w:val="a4"/>
    <w:next w:val="a4"/>
    <w:link w:val="90"/>
    <w:qFormat/>
    <w:rsid w:val="007F6DBF"/>
    <w:pPr>
      <w:keepNext/>
      <w:jc w:val="center"/>
      <w:outlineLvl w:val="8"/>
    </w:pPr>
    <w:rPr>
      <w:b/>
      <w:iCs/>
      <w:sz w:val="22"/>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styleId="a8">
    <w:name w:val="Hyperlink"/>
    <w:basedOn w:val="a5"/>
    <w:uiPriority w:val="99"/>
    <w:unhideWhenUsed/>
    <w:rsid w:val="00B954B9"/>
    <w:rPr>
      <w:color w:val="0000FF" w:themeColor="hyperlink"/>
      <w:u w:val="single"/>
    </w:rPr>
  </w:style>
  <w:style w:type="paragraph" w:styleId="a9">
    <w:name w:val="List Paragraph"/>
    <w:basedOn w:val="a4"/>
    <w:uiPriority w:val="34"/>
    <w:qFormat/>
    <w:rsid w:val="00B415FA"/>
    <w:pPr>
      <w:ind w:left="720"/>
      <w:contextualSpacing/>
    </w:pPr>
  </w:style>
  <w:style w:type="paragraph" w:styleId="aa">
    <w:name w:val="Balloon Text"/>
    <w:basedOn w:val="a4"/>
    <w:link w:val="ab"/>
    <w:uiPriority w:val="99"/>
    <w:semiHidden/>
    <w:unhideWhenUsed/>
    <w:rsid w:val="00AF3059"/>
    <w:rPr>
      <w:rFonts w:ascii="Tahoma" w:hAnsi="Tahoma" w:cs="Tahoma"/>
      <w:sz w:val="16"/>
      <w:szCs w:val="16"/>
    </w:rPr>
  </w:style>
  <w:style w:type="character" w:customStyle="1" w:styleId="ab">
    <w:name w:val="Текст выноски Знак"/>
    <w:basedOn w:val="a5"/>
    <w:link w:val="aa"/>
    <w:uiPriority w:val="99"/>
    <w:semiHidden/>
    <w:rsid w:val="00AF3059"/>
    <w:rPr>
      <w:rFonts w:ascii="Tahoma" w:eastAsia="Times New Roman" w:hAnsi="Tahoma" w:cs="Tahoma"/>
      <w:sz w:val="16"/>
      <w:szCs w:val="16"/>
      <w:lang w:eastAsia="ru-RU"/>
    </w:rPr>
  </w:style>
  <w:style w:type="paragraph" w:styleId="ac">
    <w:name w:val="Normal (Web)"/>
    <w:basedOn w:val="a4"/>
    <w:unhideWhenUsed/>
    <w:rsid w:val="0054405A"/>
    <w:pPr>
      <w:spacing w:before="100" w:beforeAutospacing="1" w:after="100" w:afterAutospacing="1"/>
    </w:pPr>
    <w:rPr>
      <w:rFonts w:eastAsiaTheme="minorEastAsia"/>
    </w:rPr>
  </w:style>
  <w:style w:type="character" w:styleId="ad">
    <w:name w:val="annotation reference"/>
    <w:basedOn w:val="a5"/>
    <w:unhideWhenUsed/>
    <w:rsid w:val="00116943"/>
    <w:rPr>
      <w:sz w:val="16"/>
      <w:szCs w:val="16"/>
    </w:rPr>
  </w:style>
  <w:style w:type="paragraph" w:styleId="ae">
    <w:name w:val="annotation text"/>
    <w:basedOn w:val="a4"/>
    <w:link w:val="af"/>
    <w:semiHidden/>
    <w:unhideWhenUsed/>
    <w:rsid w:val="00116943"/>
    <w:rPr>
      <w:sz w:val="20"/>
      <w:szCs w:val="20"/>
    </w:rPr>
  </w:style>
  <w:style w:type="character" w:customStyle="1" w:styleId="af">
    <w:name w:val="Текст примечания Знак"/>
    <w:basedOn w:val="a5"/>
    <w:link w:val="ae"/>
    <w:semiHidden/>
    <w:rsid w:val="00116943"/>
    <w:rPr>
      <w:rFonts w:ascii="Times New Roman" w:eastAsia="Times New Roman" w:hAnsi="Times New Roman" w:cs="Times New Roman"/>
      <w:sz w:val="20"/>
      <w:szCs w:val="20"/>
      <w:lang w:eastAsia="ru-RU"/>
    </w:rPr>
  </w:style>
  <w:style w:type="paragraph" w:styleId="af0">
    <w:name w:val="annotation subject"/>
    <w:basedOn w:val="ae"/>
    <w:next w:val="ae"/>
    <w:link w:val="af1"/>
    <w:uiPriority w:val="99"/>
    <w:semiHidden/>
    <w:unhideWhenUsed/>
    <w:rsid w:val="00116943"/>
    <w:rPr>
      <w:b/>
      <w:bCs/>
    </w:rPr>
  </w:style>
  <w:style w:type="character" w:customStyle="1" w:styleId="af1">
    <w:name w:val="Тема примечания Знак"/>
    <w:basedOn w:val="af"/>
    <w:link w:val="af0"/>
    <w:uiPriority w:val="99"/>
    <w:semiHidden/>
    <w:rsid w:val="00116943"/>
    <w:rPr>
      <w:rFonts w:ascii="Times New Roman" w:eastAsia="Times New Roman" w:hAnsi="Times New Roman" w:cs="Times New Roman"/>
      <w:b/>
      <w:bCs/>
      <w:sz w:val="20"/>
      <w:szCs w:val="20"/>
      <w:lang w:eastAsia="ru-RU"/>
    </w:rPr>
  </w:style>
  <w:style w:type="character" w:customStyle="1" w:styleId="11">
    <w:name w:val="Заголовок 1 Знак"/>
    <w:basedOn w:val="a5"/>
    <w:link w:val="10"/>
    <w:rsid w:val="007F6DBF"/>
    <w:rPr>
      <w:rFonts w:ascii="Arial" w:eastAsia="Times New Roman" w:hAnsi="Arial" w:cs="Arial"/>
      <w:b/>
      <w:bCs/>
      <w:kern w:val="32"/>
      <w:sz w:val="32"/>
      <w:szCs w:val="32"/>
      <w:lang w:eastAsia="ru-RU"/>
    </w:rPr>
  </w:style>
  <w:style w:type="character" w:customStyle="1" w:styleId="21">
    <w:name w:val="Заголовок 2 Знак"/>
    <w:basedOn w:val="a5"/>
    <w:link w:val="20"/>
    <w:rsid w:val="007F6DBF"/>
    <w:rPr>
      <w:rFonts w:ascii="Times New Roman" w:eastAsia="Times New Roman" w:hAnsi="Times New Roman" w:cs="Times New Roman"/>
      <w:sz w:val="28"/>
      <w:szCs w:val="20"/>
      <w:lang w:eastAsia="ru-RU"/>
    </w:rPr>
  </w:style>
  <w:style w:type="character" w:customStyle="1" w:styleId="31">
    <w:name w:val="Заголовок 3 Знак"/>
    <w:basedOn w:val="a5"/>
    <w:link w:val="30"/>
    <w:rsid w:val="007F6DBF"/>
    <w:rPr>
      <w:rFonts w:ascii="Times New Roman" w:eastAsia="Times New Roman" w:hAnsi="Times New Roman" w:cs="Times New Roman"/>
      <w:sz w:val="28"/>
      <w:szCs w:val="20"/>
      <w:lang w:eastAsia="ru-RU"/>
    </w:rPr>
  </w:style>
  <w:style w:type="character" w:customStyle="1" w:styleId="40">
    <w:name w:val="Заголовок 4 Знак"/>
    <w:basedOn w:val="a5"/>
    <w:link w:val="4"/>
    <w:rsid w:val="007F6DBF"/>
    <w:rPr>
      <w:rFonts w:ascii="Times New Roman" w:eastAsia="Times New Roman" w:hAnsi="Times New Roman" w:cs="Times New Roman"/>
      <w:b/>
      <w:bCs/>
      <w:sz w:val="20"/>
      <w:szCs w:val="20"/>
      <w:lang w:eastAsia="ru-RU"/>
    </w:rPr>
  </w:style>
  <w:style w:type="character" w:customStyle="1" w:styleId="50">
    <w:name w:val="Заголовок 5 Знак"/>
    <w:basedOn w:val="a5"/>
    <w:link w:val="5"/>
    <w:rsid w:val="007F6DBF"/>
    <w:rPr>
      <w:rFonts w:ascii="Times New Roman" w:eastAsia="Times New Roman" w:hAnsi="Times New Roman" w:cs="Times New Roman"/>
      <w:b/>
      <w:bCs/>
      <w:sz w:val="26"/>
      <w:szCs w:val="20"/>
      <w:lang w:eastAsia="ru-RU"/>
    </w:rPr>
  </w:style>
  <w:style w:type="character" w:customStyle="1" w:styleId="60">
    <w:name w:val="Заголовок 6 Знак"/>
    <w:basedOn w:val="a5"/>
    <w:link w:val="6"/>
    <w:rsid w:val="007F6DBF"/>
    <w:rPr>
      <w:rFonts w:ascii="Times New Roman" w:eastAsia="Times New Roman" w:hAnsi="Times New Roman" w:cs="Times New Roman"/>
      <w:b/>
      <w:iCs/>
      <w:sz w:val="26"/>
      <w:szCs w:val="20"/>
      <w:lang w:eastAsia="ru-RU"/>
    </w:rPr>
  </w:style>
  <w:style w:type="character" w:customStyle="1" w:styleId="70">
    <w:name w:val="Заголовок 7 Знак"/>
    <w:basedOn w:val="a5"/>
    <w:link w:val="7"/>
    <w:rsid w:val="007F6DBF"/>
    <w:rPr>
      <w:rFonts w:ascii="Times New Roman" w:eastAsia="Times New Roman" w:hAnsi="Times New Roman" w:cs="Times New Roman"/>
      <w:sz w:val="24"/>
      <w:szCs w:val="20"/>
      <w:lang w:eastAsia="ru-RU"/>
    </w:rPr>
  </w:style>
  <w:style w:type="character" w:customStyle="1" w:styleId="80">
    <w:name w:val="Заголовок 8 Знак"/>
    <w:basedOn w:val="a5"/>
    <w:link w:val="8"/>
    <w:rsid w:val="007F6DBF"/>
    <w:rPr>
      <w:rFonts w:ascii="Times New Roman" w:eastAsia="Times New Roman" w:hAnsi="Times New Roman" w:cs="Times New Roman"/>
      <w:b/>
      <w:iCs/>
      <w:sz w:val="28"/>
      <w:szCs w:val="20"/>
      <w:lang w:eastAsia="ru-RU"/>
    </w:rPr>
  </w:style>
  <w:style w:type="character" w:customStyle="1" w:styleId="90">
    <w:name w:val="Заголовок 9 Знак"/>
    <w:basedOn w:val="a5"/>
    <w:link w:val="9"/>
    <w:rsid w:val="007F6DBF"/>
    <w:rPr>
      <w:rFonts w:ascii="Times New Roman" w:eastAsia="Times New Roman" w:hAnsi="Times New Roman" w:cs="Times New Roman"/>
      <w:b/>
      <w:iCs/>
      <w:szCs w:val="20"/>
      <w:lang w:eastAsia="ru-RU"/>
    </w:rPr>
  </w:style>
  <w:style w:type="numbering" w:customStyle="1" w:styleId="12">
    <w:name w:val="Нет списка1"/>
    <w:next w:val="a7"/>
    <w:uiPriority w:val="99"/>
    <w:semiHidden/>
    <w:unhideWhenUsed/>
    <w:rsid w:val="007F6DBF"/>
  </w:style>
  <w:style w:type="numbering" w:customStyle="1" w:styleId="110">
    <w:name w:val="Нет списка11"/>
    <w:next w:val="a7"/>
    <w:uiPriority w:val="99"/>
    <w:semiHidden/>
    <w:unhideWhenUsed/>
    <w:rsid w:val="007F6DBF"/>
  </w:style>
  <w:style w:type="table" w:styleId="af2">
    <w:name w:val="Table Grid"/>
    <w:basedOn w:val="a6"/>
    <w:uiPriority w:val="59"/>
    <w:rsid w:val="007F6D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1"/>
    <w:next w:val="a7"/>
    <w:semiHidden/>
    <w:rsid w:val="007F6DBF"/>
  </w:style>
  <w:style w:type="paragraph" w:customStyle="1" w:styleId="ConsPlusNormal">
    <w:name w:val="ConsPlusNormal"/>
    <w:rsid w:val="007F6DB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af3">
    <w:name w:val="header"/>
    <w:basedOn w:val="a4"/>
    <w:link w:val="af4"/>
    <w:uiPriority w:val="99"/>
    <w:rsid w:val="007F6DBF"/>
    <w:pPr>
      <w:tabs>
        <w:tab w:val="center" w:pos="4677"/>
        <w:tab w:val="right" w:pos="9355"/>
      </w:tabs>
    </w:pPr>
  </w:style>
  <w:style w:type="character" w:customStyle="1" w:styleId="af4">
    <w:name w:val="Верхний колонтитул Знак"/>
    <w:basedOn w:val="a5"/>
    <w:link w:val="af3"/>
    <w:uiPriority w:val="99"/>
    <w:rsid w:val="007F6DBF"/>
    <w:rPr>
      <w:rFonts w:ascii="Times New Roman" w:eastAsia="Times New Roman" w:hAnsi="Times New Roman" w:cs="Times New Roman"/>
      <w:sz w:val="24"/>
      <w:szCs w:val="24"/>
      <w:lang w:eastAsia="ru-RU"/>
    </w:rPr>
  </w:style>
  <w:style w:type="character" w:styleId="af5">
    <w:name w:val="page number"/>
    <w:rsid w:val="007F6DBF"/>
  </w:style>
  <w:style w:type="paragraph" w:customStyle="1" w:styleId="310">
    <w:name w:val="Основной текст 31"/>
    <w:basedOn w:val="a4"/>
    <w:rsid w:val="007F6DBF"/>
    <w:pPr>
      <w:suppressAutoHyphens/>
      <w:spacing w:before="20"/>
      <w:ind w:firstLine="709"/>
      <w:jc w:val="both"/>
    </w:pPr>
    <w:rPr>
      <w:szCs w:val="20"/>
      <w:lang w:eastAsia="ar-SA"/>
    </w:rPr>
  </w:style>
  <w:style w:type="paragraph" w:customStyle="1" w:styleId="13">
    <w:name w:val="1"/>
    <w:basedOn w:val="a4"/>
    <w:rsid w:val="007F6DBF"/>
    <w:pPr>
      <w:spacing w:after="160" w:line="240" w:lineRule="exact"/>
    </w:pPr>
    <w:rPr>
      <w:rFonts w:ascii="Verdana" w:hAnsi="Verdana" w:cs="Verdana"/>
      <w:sz w:val="20"/>
      <w:szCs w:val="20"/>
      <w:lang w:val="en-US" w:eastAsia="en-US"/>
    </w:rPr>
  </w:style>
  <w:style w:type="paragraph" w:styleId="af6">
    <w:name w:val="Title"/>
    <w:basedOn w:val="a4"/>
    <w:link w:val="af7"/>
    <w:qFormat/>
    <w:rsid w:val="007F6DBF"/>
    <w:pPr>
      <w:jc w:val="center"/>
    </w:pPr>
    <w:rPr>
      <w:szCs w:val="20"/>
    </w:rPr>
  </w:style>
  <w:style w:type="character" w:customStyle="1" w:styleId="af7">
    <w:name w:val="Название Знак"/>
    <w:basedOn w:val="a5"/>
    <w:link w:val="af6"/>
    <w:rsid w:val="007F6DBF"/>
    <w:rPr>
      <w:rFonts w:ascii="Times New Roman" w:eastAsia="Times New Roman" w:hAnsi="Times New Roman" w:cs="Times New Roman"/>
      <w:sz w:val="24"/>
      <w:szCs w:val="20"/>
      <w:lang w:eastAsia="ru-RU"/>
    </w:rPr>
  </w:style>
  <w:style w:type="paragraph" w:customStyle="1" w:styleId="af8">
    <w:name w:val="Знак Знак Знак Знак"/>
    <w:basedOn w:val="a4"/>
    <w:rsid w:val="007F6DBF"/>
    <w:pPr>
      <w:spacing w:after="160" w:line="240" w:lineRule="exact"/>
    </w:pPr>
    <w:rPr>
      <w:rFonts w:ascii="Verdana" w:hAnsi="Verdana" w:cs="Verdana"/>
      <w:sz w:val="20"/>
      <w:szCs w:val="20"/>
      <w:lang w:val="en-US" w:eastAsia="en-US"/>
    </w:rPr>
  </w:style>
  <w:style w:type="numbering" w:customStyle="1" w:styleId="22">
    <w:name w:val="Нет списка2"/>
    <w:next w:val="a7"/>
    <w:uiPriority w:val="99"/>
    <w:semiHidden/>
    <w:unhideWhenUsed/>
    <w:rsid w:val="007F6DBF"/>
  </w:style>
  <w:style w:type="numbering" w:customStyle="1" w:styleId="1111">
    <w:name w:val="Нет списка1111"/>
    <w:next w:val="a7"/>
    <w:semiHidden/>
    <w:unhideWhenUsed/>
    <w:rsid w:val="007F6DBF"/>
  </w:style>
  <w:style w:type="paragraph" w:customStyle="1" w:styleId="af9">
    <w:name w:val="Знак Знак Знак"/>
    <w:basedOn w:val="a4"/>
    <w:rsid w:val="007F6DBF"/>
    <w:pPr>
      <w:spacing w:after="160" w:line="240" w:lineRule="exact"/>
    </w:pPr>
    <w:rPr>
      <w:rFonts w:ascii="Verdana" w:hAnsi="Verdana" w:cs="Verdana"/>
      <w:sz w:val="20"/>
      <w:szCs w:val="20"/>
      <w:lang w:val="en-US" w:eastAsia="en-US"/>
    </w:rPr>
  </w:style>
  <w:style w:type="paragraph" w:styleId="afa">
    <w:name w:val="Body Text"/>
    <w:aliases w:val="body text"/>
    <w:basedOn w:val="a4"/>
    <w:link w:val="afb"/>
    <w:rsid w:val="007F6DBF"/>
    <w:pPr>
      <w:spacing w:line="360" w:lineRule="auto"/>
      <w:jc w:val="both"/>
    </w:pPr>
    <w:rPr>
      <w:sz w:val="28"/>
      <w:szCs w:val="20"/>
    </w:rPr>
  </w:style>
  <w:style w:type="character" w:customStyle="1" w:styleId="afb">
    <w:name w:val="Основной текст Знак"/>
    <w:aliases w:val="body text Знак"/>
    <w:basedOn w:val="a5"/>
    <w:link w:val="afa"/>
    <w:rsid w:val="007F6DBF"/>
    <w:rPr>
      <w:rFonts w:ascii="Times New Roman" w:eastAsia="Times New Roman" w:hAnsi="Times New Roman" w:cs="Times New Roman"/>
      <w:sz w:val="28"/>
      <w:szCs w:val="20"/>
      <w:lang w:eastAsia="ru-RU"/>
    </w:rPr>
  </w:style>
  <w:style w:type="paragraph" w:styleId="a">
    <w:name w:val="Body Text Indent"/>
    <w:basedOn w:val="a4"/>
    <w:link w:val="afc"/>
    <w:semiHidden/>
    <w:rsid w:val="007F6DBF"/>
    <w:pPr>
      <w:numPr>
        <w:numId w:val="22"/>
      </w:numPr>
      <w:tabs>
        <w:tab w:val="clear" w:pos="900"/>
      </w:tabs>
      <w:spacing w:line="360" w:lineRule="auto"/>
      <w:ind w:left="0" w:firstLine="567"/>
      <w:jc w:val="both"/>
    </w:pPr>
    <w:rPr>
      <w:sz w:val="28"/>
      <w:szCs w:val="20"/>
    </w:rPr>
  </w:style>
  <w:style w:type="character" w:customStyle="1" w:styleId="afc">
    <w:name w:val="Основной текст с отступом Знак"/>
    <w:basedOn w:val="a5"/>
    <w:link w:val="a"/>
    <w:semiHidden/>
    <w:rsid w:val="007F6DBF"/>
    <w:rPr>
      <w:rFonts w:ascii="Times New Roman" w:eastAsia="Times New Roman" w:hAnsi="Times New Roman" w:cs="Times New Roman"/>
      <w:sz w:val="28"/>
      <w:szCs w:val="20"/>
      <w:lang w:eastAsia="ru-RU"/>
    </w:rPr>
  </w:style>
  <w:style w:type="paragraph" w:styleId="2">
    <w:name w:val="Body Text Indent 2"/>
    <w:basedOn w:val="a4"/>
    <w:link w:val="23"/>
    <w:semiHidden/>
    <w:rsid w:val="007F6DBF"/>
    <w:pPr>
      <w:numPr>
        <w:ilvl w:val="4"/>
        <w:numId w:val="22"/>
      </w:numPr>
      <w:tabs>
        <w:tab w:val="clear" w:pos="2160"/>
      </w:tabs>
      <w:spacing w:line="360" w:lineRule="auto"/>
      <w:ind w:firstLine="567"/>
      <w:jc w:val="center"/>
    </w:pPr>
    <w:rPr>
      <w:sz w:val="20"/>
      <w:szCs w:val="20"/>
    </w:rPr>
  </w:style>
  <w:style w:type="character" w:customStyle="1" w:styleId="23">
    <w:name w:val="Основной текст с отступом 2 Знак"/>
    <w:basedOn w:val="a5"/>
    <w:link w:val="2"/>
    <w:semiHidden/>
    <w:rsid w:val="007F6DBF"/>
    <w:rPr>
      <w:rFonts w:ascii="Times New Roman" w:eastAsia="Times New Roman" w:hAnsi="Times New Roman" w:cs="Times New Roman"/>
      <w:sz w:val="20"/>
      <w:szCs w:val="20"/>
      <w:lang w:eastAsia="ru-RU"/>
    </w:rPr>
  </w:style>
  <w:style w:type="paragraph" w:styleId="3">
    <w:name w:val="Body Text Indent 3"/>
    <w:basedOn w:val="a4"/>
    <w:link w:val="32"/>
    <w:rsid w:val="007F6DBF"/>
    <w:pPr>
      <w:numPr>
        <w:ilvl w:val="3"/>
        <w:numId w:val="22"/>
      </w:numPr>
      <w:tabs>
        <w:tab w:val="clear" w:pos="1800"/>
      </w:tabs>
      <w:spacing w:line="360" w:lineRule="auto"/>
      <w:ind w:firstLine="567"/>
      <w:jc w:val="both"/>
    </w:pPr>
    <w:rPr>
      <w:color w:val="FF0000"/>
      <w:sz w:val="28"/>
      <w:szCs w:val="20"/>
    </w:rPr>
  </w:style>
  <w:style w:type="character" w:customStyle="1" w:styleId="32">
    <w:name w:val="Основной текст с отступом 3 Знак"/>
    <w:basedOn w:val="a5"/>
    <w:link w:val="3"/>
    <w:rsid w:val="007F6DBF"/>
    <w:rPr>
      <w:rFonts w:ascii="Times New Roman" w:eastAsia="Times New Roman" w:hAnsi="Times New Roman" w:cs="Times New Roman"/>
      <w:color w:val="FF0000"/>
      <w:sz w:val="28"/>
      <w:szCs w:val="20"/>
      <w:lang w:eastAsia="ru-RU"/>
    </w:rPr>
  </w:style>
  <w:style w:type="paragraph" w:customStyle="1" w:styleId="14">
    <w:name w:val="Обычный1"/>
    <w:rsid w:val="007F6DBF"/>
    <w:pPr>
      <w:spacing w:after="0" w:line="240" w:lineRule="auto"/>
    </w:pPr>
    <w:rPr>
      <w:rFonts w:ascii="AGOpus" w:eastAsia="Times New Roman" w:hAnsi="AGOpus" w:cs="Times New Roman"/>
      <w:color w:val="000000"/>
      <w:szCs w:val="20"/>
      <w:lang w:eastAsia="ru-RU"/>
    </w:rPr>
  </w:style>
  <w:style w:type="paragraph" w:customStyle="1" w:styleId="112">
    <w:name w:val="Заголовок 11"/>
    <w:basedOn w:val="14"/>
    <w:next w:val="15"/>
    <w:rsid w:val="007F6DBF"/>
    <w:pPr>
      <w:keepNext/>
      <w:keepLines/>
      <w:pBdr>
        <w:top w:val="single" w:sz="6" w:space="6" w:color="808080"/>
        <w:bottom w:val="single" w:sz="6" w:space="6" w:color="808080"/>
      </w:pBdr>
      <w:spacing w:after="240" w:line="240" w:lineRule="atLeast"/>
      <w:jc w:val="center"/>
    </w:pPr>
    <w:rPr>
      <w:rFonts w:ascii="Garamond" w:hAnsi="Garamond"/>
      <w:b/>
      <w:caps/>
      <w:color w:val="auto"/>
      <w:spacing w:val="20"/>
      <w:kern w:val="16"/>
      <w:sz w:val="18"/>
    </w:rPr>
  </w:style>
  <w:style w:type="paragraph" w:customStyle="1" w:styleId="15">
    <w:name w:val="Основной текст1"/>
    <w:basedOn w:val="14"/>
    <w:rsid w:val="007F6DBF"/>
    <w:pPr>
      <w:jc w:val="center"/>
    </w:pPr>
    <w:rPr>
      <w:sz w:val="36"/>
    </w:rPr>
  </w:style>
  <w:style w:type="paragraph" w:customStyle="1" w:styleId="210">
    <w:name w:val="Основной текст 21"/>
    <w:basedOn w:val="14"/>
    <w:rsid w:val="007F6DBF"/>
    <w:pPr>
      <w:ind w:left="720"/>
      <w:jc w:val="both"/>
    </w:pPr>
    <w:rPr>
      <w:rFonts w:ascii="Garamond" w:hAnsi="Garamond"/>
      <w:snapToGrid w:val="0"/>
      <w:sz w:val="28"/>
    </w:rPr>
  </w:style>
  <w:style w:type="paragraph" w:styleId="afd">
    <w:name w:val="footer"/>
    <w:basedOn w:val="a4"/>
    <w:link w:val="afe"/>
    <w:uiPriority w:val="99"/>
    <w:rsid w:val="007F6DBF"/>
    <w:pPr>
      <w:tabs>
        <w:tab w:val="center" w:pos="4677"/>
        <w:tab w:val="right" w:pos="9355"/>
      </w:tabs>
      <w:ind w:firstLine="720"/>
    </w:pPr>
    <w:rPr>
      <w:szCs w:val="20"/>
    </w:rPr>
  </w:style>
  <w:style w:type="character" w:customStyle="1" w:styleId="afe">
    <w:name w:val="Нижний колонтитул Знак"/>
    <w:basedOn w:val="a5"/>
    <w:link w:val="afd"/>
    <w:uiPriority w:val="99"/>
    <w:rsid w:val="007F6DBF"/>
    <w:rPr>
      <w:rFonts w:ascii="Times New Roman" w:eastAsia="Times New Roman" w:hAnsi="Times New Roman" w:cs="Times New Roman"/>
      <w:sz w:val="24"/>
      <w:szCs w:val="20"/>
      <w:lang w:eastAsia="ru-RU"/>
    </w:rPr>
  </w:style>
  <w:style w:type="paragraph" w:styleId="24">
    <w:name w:val="Body Text 2"/>
    <w:basedOn w:val="a4"/>
    <w:link w:val="25"/>
    <w:rsid w:val="007F6DBF"/>
    <w:pPr>
      <w:jc w:val="both"/>
    </w:pPr>
    <w:rPr>
      <w:szCs w:val="20"/>
    </w:rPr>
  </w:style>
  <w:style w:type="character" w:customStyle="1" w:styleId="25">
    <w:name w:val="Основной текст 2 Знак"/>
    <w:basedOn w:val="a5"/>
    <w:link w:val="24"/>
    <w:rsid w:val="007F6DBF"/>
    <w:rPr>
      <w:rFonts w:ascii="Times New Roman" w:eastAsia="Times New Roman" w:hAnsi="Times New Roman" w:cs="Times New Roman"/>
      <w:sz w:val="24"/>
      <w:szCs w:val="20"/>
      <w:lang w:eastAsia="ru-RU"/>
    </w:rPr>
  </w:style>
  <w:style w:type="paragraph" w:styleId="33">
    <w:name w:val="Body Text 3"/>
    <w:basedOn w:val="a4"/>
    <w:link w:val="34"/>
    <w:semiHidden/>
    <w:rsid w:val="007F6DBF"/>
    <w:pPr>
      <w:jc w:val="center"/>
    </w:pPr>
    <w:rPr>
      <w:bCs/>
      <w:iCs/>
      <w:szCs w:val="20"/>
    </w:rPr>
  </w:style>
  <w:style w:type="character" w:customStyle="1" w:styleId="34">
    <w:name w:val="Основной текст 3 Знак"/>
    <w:basedOn w:val="a5"/>
    <w:link w:val="33"/>
    <w:semiHidden/>
    <w:rsid w:val="007F6DBF"/>
    <w:rPr>
      <w:rFonts w:ascii="Times New Roman" w:eastAsia="Times New Roman" w:hAnsi="Times New Roman" w:cs="Times New Roman"/>
      <w:bCs/>
      <w:iCs/>
      <w:sz w:val="24"/>
      <w:szCs w:val="20"/>
      <w:lang w:eastAsia="ru-RU"/>
    </w:rPr>
  </w:style>
  <w:style w:type="character" w:customStyle="1" w:styleId="SUBST">
    <w:name w:val="__SUBST"/>
    <w:rsid w:val="007F6DBF"/>
    <w:rPr>
      <w:b/>
      <w:bCs/>
      <w:i/>
      <w:iCs/>
      <w:sz w:val="22"/>
      <w:szCs w:val="22"/>
    </w:rPr>
  </w:style>
  <w:style w:type="character" w:styleId="aff">
    <w:name w:val="FollowedHyperlink"/>
    <w:uiPriority w:val="99"/>
    <w:semiHidden/>
    <w:rsid w:val="007F6DBF"/>
    <w:rPr>
      <w:color w:val="800080"/>
      <w:u w:val="single"/>
    </w:rPr>
  </w:style>
  <w:style w:type="paragraph" w:customStyle="1" w:styleId="311">
    <w:name w:val="Заголовок 31"/>
    <w:rsid w:val="007F6DBF"/>
    <w:pPr>
      <w:widowControl w:val="0"/>
      <w:autoSpaceDE w:val="0"/>
      <w:autoSpaceDN w:val="0"/>
      <w:adjustRightInd w:val="0"/>
      <w:spacing w:before="240" w:after="40" w:line="240" w:lineRule="auto"/>
    </w:pPr>
    <w:rPr>
      <w:rFonts w:ascii="Times New Roman" w:eastAsia="Times New Roman" w:hAnsi="Times New Roman" w:cs="Times New Roman"/>
      <w:b/>
      <w:bCs/>
      <w:lang w:eastAsia="ru-RU"/>
    </w:rPr>
  </w:style>
  <w:style w:type="paragraph" w:styleId="aff0">
    <w:name w:val="Plain Text"/>
    <w:aliases w:val="Текст Знак Знак Знак Знак Знак Знак Знак Знак Знак Знак"/>
    <w:basedOn w:val="a4"/>
    <w:link w:val="aff1"/>
    <w:semiHidden/>
    <w:rsid w:val="007F6DBF"/>
    <w:rPr>
      <w:rFonts w:ascii="Courier New" w:hAnsi="Courier New"/>
      <w:sz w:val="20"/>
      <w:szCs w:val="20"/>
    </w:rPr>
  </w:style>
  <w:style w:type="character" w:customStyle="1" w:styleId="aff1">
    <w:name w:val="Текст Знак"/>
    <w:aliases w:val="Текст Знак Знак Знак Знак Знак Знак Знак Знак Знак Знак Знак"/>
    <w:basedOn w:val="a5"/>
    <w:link w:val="aff0"/>
    <w:semiHidden/>
    <w:rsid w:val="007F6DBF"/>
    <w:rPr>
      <w:rFonts w:ascii="Courier New" w:eastAsia="Times New Roman" w:hAnsi="Courier New" w:cs="Times New Roman"/>
      <w:sz w:val="20"/>
      <w:szCs w:val="20"/>
      <w:lang w:eastAsia="ru-RU"/>
    </w:rPr>
  </w:style>
  <w:style w:type="paragraph" w:customStyle="1" w:styleId="ConsNormal">
    <w:name w:val="ConsNormal"/>
    <w:rsid w:val="007F6DB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35">
    <w:name w:val="заголовок 3"/>
    <w:basedOn w:val="a4"/>
    <w:next w:val="a4"/>
    <w:rsid w:val="007F6DBF"/>
    <w:pPr>
      <w:keepNext/>
      <w:tabs>
        <w:tab w:val="num" w:pos="360"/>
        <w:tab w:val="num" w:pos="576"/>
      </w:tabs>
      <w:spacing w:before="60" w:after="60"/>
      <w:ind w:left="576" w:hanging="576"/>
    </w:pPr>
    <w:rPr>
      <w:rFonts w:ascii="Arial" w:hAnsi="Arial"/>
      <w:b/>
      <w:sz w:val="26"/>
      <w:szCs w:val="20"/>
    </w:rPr>
  </w:style>
  <w:style w:type="paragraph" w:styleId="aff2">
    <w:name w:val="List Number"/>
    <w:basedOn w:val="a4"/>
    <w:semiHidden/>
    <w:rsid w:val="007F6DBF"/>
    <w:pPr>
      <w:spacing w:after="240" w:line="240" w:lineRule="atLeast"/>
      <w:ind w:right="720"/>
      <w:jc w:val="both"/>
    </w:pPr>
    <w:rPr>
      <w:rFonts w:ascii="Garamond" w:hAnsi="Garamond"/>
      <w:szCs w:val="20"/>
    </w:rPr>
  </w:style>
  <w:style w:type="paragraph" w:customStyle="1" w:styleId="ConsNonformat">
    <w:name w:val="ConsNonformat"/>
    <w:rsid w:val="007F6DBF"/>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Cell">
    <w:name w:val="ConsCell"/>
    <w:rsid w:val="007F6DB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3">
    <w:name w:val="Subtitle"/>
    <w:basedOn w:val="a4"/>
    <w:link w:val="aff4"/>
    <w:qFormat/>
    <w:rsid w:val="007F6DBF"/>
    <w:pPr>
      <w:jc w:val="both"/>
    </w:pPr>
    <w:rPr>
      <w:szCs w:val="20"/>
    </w:rPr>
  </w:style>
  <w:style w:type="character" w:customStyle="1" w:styleId="aff4">
    <w:name w:val="Подзаголовок Знак"/>
    <w:basedOn w:val="a5"/>
    <w:link w:val="aff3"/>
    <w:rsid w:val="007F6DBF"/>
    <w:rPr>
      <w:rFonts w:ascii="Times New Roman" w:eastAsia="Times New Roman" w:hAnsi="Times New Roman" w:cs="Times New Roman"/>
      <w:sz w:val="24"/>
      <w:szCs w:val="20"/>
      <w:lang w:eastAsia="ru-RU"/>
    </w:rPr>
  </w:style>
  <w:style w:type="character" w:styleId="aff5">
    <w:name w:val="footnote reference"/>
    <w:semiHidden/>
    <w:rsid w:val="007F6DBF"/>
    <w:rPr>
      <w:vertAlign w:val="superscript"/>
    </w:rPr>
  </w:style>
  <w:style w:type="paragraph" w:customStyle="1" w:styleId="xl24">
    <w:name w:val="xl24"/>
    <w:basedOn w:val="a4"/>
    <w:rsid w:val="007F6DBF"/>
    <w:pPr>
      <w:spacing w:before="100" w:beforeAutospacing="1" w:after="100" w:afterAutospacing="1"/>
    </w:pPr>
    <w:rPr>
      <w:rFonts w:eastAsia="Arial Unicode MS"/>
    </w:rPr>
  </w:style>
  <w:style w:type="paragraph" w:customStyle="1" w:styleId="SubHeading">
    <w:name w:val="Sub Heading"/>
    <w:rsid w:val="007F6DBF"/>
    <w:pPr>
      <w:widowControl w:val="0"/>
      <w:autoSpaceDE w:val="0"/>
      <w:autoSpaceDN w:val="0"/>
      <w:adjustRightInd w:val="0"/>
      <w:spacing w:before="80" w:after="20" w:line="240" w:lineRule="auto"/>
    </w:pPr>
    <w:rPr>
      <w:rFonts w:ascii="Times New Roman" w:eastAsia="Times New Roman" w:hAnsi="Times New Roman" w:cs="Times New Roman"/>
      <w:sz w:val="20"/>
      <w:szCs w:val="20"/>
      <w:lang w:eastAsia="ru-RU"/>
    </w:rPr>
  </w:style>
  <w:style w:type="paragraph" w:customStyle="1" w:styleId="aff6">
    <w:name w:val="Знак"/>
    <w:basedOn w:val="a4"/>
    <w:rsid w:val="007F6DBF"/>
    <w:pPr>
      <w:spacing w:after="160" w:line="240" w:lineRule="exact"/>
    </w:pPr>
    <w:rPr>
      <w:rFonts w:ascii="Verdana" w:hAnsi="Verdana" w:cs="Verdana"/>
      <w:sz w:val="20"/>
      <w:szCs w:val="20"/>
      <w:lang w:val="en-US" w:eastAsia="en-US"/>
    </w:rPr>
  </w:style>
  <w:style w:type="paragraph" w:customStyle="1" w:styleId="16">
    <w:name w:val="Цитата1"/>
    <w:basedOn w:val="a4"/>
    <w:rsid w:val="007F6DBF"/>
    <w:pPr>
      <w:widowControl w:val="0"/>
      <w:spacing w:line="300" w:lineRule="auto"/>
      <w:ind w:left="760" w:right="1004" w:hanging="420"/>
      <w:jc w:val="both"/>
    </w:pPr>
    <w:rPr>
      <w:szCs w:val="20"/>
    </w:rPr>
  </w:style>
  <w:style w:type="paragraph" w:styleId="26">
    <w:name w:val="toc 2"/>
    <w:basedOn w:val="a4"/>
    <w:next w:val="a4"/>
    <w:autoRedefine/>
    <w:semiHidden/>
    <w:rsid w:val="007F6DBF"/>
    <w:pPr>
      <w:tabs>
        <w:tab w:val="right" w:leader="dot" w:pos="8364"/>
      </w:tabs>
      <w:spacing w:line="360" w:lineRule="auto"/>
      <w:jc w:val="center"/>
    </w:pPr>
    <w:rPr>
      <w:b/>
      <w:bCs/>
    </w:rPr>
  </w:style>
  <w:style w:type="paragraph" w:customStyle="1" w:styleId="Iauiue">
    <w:name w:val="Iau?iue"/>
    <w:rsid w:val="007F6DBF"/>
    <w:pPr>
      <w:spacing w:after="0" w:line="240" w:lineRule="auto"/>
    </w:pPr>
    <w:rPr>
      <w:rFonts w:ascii="Times New Roman" w:eastAsia="Times New Roman" w:hAnsi="Times New Roman" w:cs="Times New Roman"/>
      <w:sz w:val="20"/>
      <w:szCs w:val="20"/>
      <w:lang w:eastAsia="ru-RU"/>
    </w:rPr>
  </w:style>
  <w:style w:type="paragraph" w:customStyle="1" w:styleId="17">
    <w:name w:val="Знак1"/>
    <w:basedOn w:val="a4"/>
    <w:rsid w:val="007F6DBF"/>
    <w:pPr>
      <w:spacing w:after="160" w:line="240" w:lineRule="exact"/>
    </w:pPr>
    <w:rPr>
      <w:rFonts w:ascii="Verdana" w:hAnsi="Verdana" w:cs="Verdana"/>
      <w:sz w:val="20"/>
      <w:szCs w:val="20"/>
      <w:lang w:val="en-US" w:eastAsia="en-US"/>
    </w:rPr>
  </w:style>
  <w:style w:type="paragraph" w:customStyle="1" w:styleId="DefaultParagraphFontParaCharChar">
    <w:name w:val="Default Paragraph Font Para Char Char Знак"/>
    <w:basedOn w:val="a4"/>
    <w:rsid w:val="007F6DBF"/>
    <w:pPr>
      <w:spacing w:after="160" w:line="240" w:lineRule="exact"/>
    </w:pPr>
    <w:rPr>
      <w:rFonts w:ascii="Verdana" w:hAnsi="Verdana" w:cs="Verdana"/>
      <w:sz w:val="20"/>
      <w:szCs w:val="20"/>
      <w:lang w:val="en-US" w:eastAsia="en-US"/>
    </w:rPr>
  </w:style>
  <w:style w:type="paragraph" w:customStyle="1" w:styleId="a0">
    <w:name w:val="Пункт Знак"/>
    <w:basedOn w:val="a4"/>
    <w:rsid w:val="007F6DBF"/>
    <w:pPr>
      <w:numPr>
        <w:ilvl w:val="1"/>
        <w:numId w:val="19"/>
      </w:numPr>
      <w:tabs>
        <w:tab w:val="left" w:pos="851"/>
        <w:tab w:val="left" w:pos="1134"/>
      </w:tabs>
      <w:spacing w:line="360" w:lineRule="auto"/>
      <w:jc w:val="both"/>
    </w:pPr>
    <w:rPr>
      <w:snapToGrid w:val="0"/>
      <w:sz w:val="28"/>
      <w:szCs w:val="20"/>
    </w:rPr>
  </w:style>
  <w:style w:type="paragraph" w:customStyle="1" w:styleId="a1">
    <w:name w:val="Подпункт"/>
    <w:basedOn w:val="a0"/>
    <w:rsid w:val="007F6DBF"/>
    <w:pPr>
      <w:numPr>
        <w:ilvl w:val="2"/>
      </w:numPr>
      <w:tabs>
        <w:tab w:val="clear" w:pos="1134"/>
      </w:tabs>
    </w:pPr>
  </w:style>
  <w:style w:type="paragraph" w:customStyle="1" w:styleId="a2">
    <w:name w:val="Подподпункт"/>
    <w:basedOn w:val="a1"/>
    <w:rsid w:val="007F6DBF"/>
    <w:pPr>
      <w:numPr>
        <w:ilvl w:val="3"/>
      </w:numPr>
      <w:tabs>
        <w:tab w:val="left" w:pos="1134"/>
        <w:tab w:val="left" w:pos="1418"/>
      </w:tabs>
    </w:pPr>
    <w:rPr>
      <w:snapToGrid/>
    </w:rPr>
  </w:style>
  <w:style w:type="paragraph" w:customStyle="1" w:styleId="a3">
    <w:name w:val="Подподподпункт"/>
    <w:basedOn w:val="a4"/>
    <w:rsid w:val="007F6DBF"/>
    <w:pPr>
      <w:numPr>
        <w:ilvl w:val="4"/>
        <w:numId w:val="19"/>
      </w:numPr>
      <w:tabs>
        <w:tab w:val="left" w:pos="1134"/>
        <w:tab w:val="left" w:pos="1701"/>
      </w:tabs>
      <w:spacing w:line="360" w:lineRule="auto"/>
      <w:jc w:val="both"/>
    </w:pPr>
    <w:rPr>
      <w:snapToGrid w:val="0"/>
      <w:sz w:val="28"/>
      <w:szCs w:val="20"/>
    </w:rPr>
  </w:style>
  <w:style w:type="paragraph" w:customStyle="1" w:styleId="1">
    <w:name w:val="Пункт1"/>
    <w:basedOn w:val="a4"/>
    <w:rsid w:val="007F6DBF"/>
    <w:pPr>
      <w:numPr>
        <w:numId w:val="19"/>
      </w:numPr>
      <w:spacing w:before="240" w:line="360" w:lineRule="auto"/>
      <w:jc w:val="center"/>
    </w:pPr>
    <w:rPr>
      <w:rFonts w:ascii="Arial" w:hAnsi="Arial"/>
      <w:b/>
      <w:snapToGrid w:val="0"/>
      <w:sz w:val="28"/>
      <w:szCs w:val="28"/>
    </w:rPr>
  </w:style>
  <w:style w:type="paragraph" w:styleId="aff7">
    <w:name w:val="footnote text"/>
    <w:basedOn w:val="a4"/>
    <w:link w:val="aff8"/>
    <w:semiHidden/>
    <w:rsid w:val="007F6DBF"/>
    <w:rPr>
      <w:sz w:val="20"/>
      <w:szCs w:val="20"/>
    </w:rPr>
  </w:style>
  <w:style w:type="character" w:customStyle="1" w:styleId="aff8">
    <w:name w:val="Текст сноски Знак"/>
    <w:basedOn w:val="a5"/>
    <w:link w:val="aff7"/>
    <w:semiHidden/>
    <w:rsid w:val="007F6DBF"/>
    <w:rPr>
      <w:rFonts w:ascii="Times New Roman" w:eastAsia="Times New Roman" w:hAnsi="Times New Roman" w:cs="Times New Roman"/>
      <w:sz w:val="20"/>
      <w:szCs w:val="20"/>
      <w:lang w:eastAsia="ru-RU"/>
    </w:rPr>
  </w:style>
  <w:style w:type="paragraph" w:customStyle="1" w:styleId="ConsPlusTitle">
    <w:name w:val="ConsPlusTitle"/>
    <w:rsid w:val="007F6DBF"/>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18">
    <w:name w:val="Ñòèëü1"/>
    <w:basedOn w:val="a4"/>
    <w:rsid w:val="007F6DBF"/>
    <w:pPr>
      <w:widowControl w:val="0"/>
      <w:adjustRightInd w:val="0"/>
      <w:spacing w:line="360" w:lineRule="atLeast"/>
      <w:ind w:right="851" w:firstLine="709"/>
      <w:jc w:val="both"/>
      <w:textAlignment w:val="baseline"/>
    </w:pPr>
    <w:rPr>
      <w:sz w:val="28"/>
      <w:szCs w:val="20"/>
    </w:rPr>
  </w:style>
  <w:style w:type="character" w:styleId="aff9">
    <w:name w:val="Strong"/>
    <w:qFormat/>
    <w:rsid w:val="007F6DBF"/>
    <w:rPr>
      <w:b/>
      <w:bCs/>
    </w:rPr>
  </w:style>
  <w:style w:type="paragraph" w:customStyle="1" w:styleId="affa">
    <w:name w:val="Изобр по центру"/>
    <w:basedOn w:val="a4"/>
    <w:rsid w:val="007F6DBF"/>
    <w:pPr>
      <w:widowControl w:val="0"/>
      <w:jc w:val="center"/>
    </w:pPr>
    <w:rPr>
      <w:bCs/>
    </w:rPr>
  </w:style>
  <w:style w:type="character" w:customStyle="1" w:styleId="affb">
    <w:name w:val="Изобр по центру Знак"/>
    <w:rsid w:val="007F6DBF"/>
    <w:rPr>
      <w:bCs/>
      <w:sz w:val="24"/>
      <w:szCs w:val="24"/>
      <w:lang w:val="ru-RU" w:eastAsia="ru-RU" w:bidi="ar-SA"/>
    </w:rPr>
  </w:style>
  <w:style w:type="paragraph" w:styleId="affc">
    <w:name w:val="No Spacing"/>
    <w:uiPriority w:val="1"/>
    <w:qFormat/>
    <w:rsid w:val="007F6DBF"/>
    <w:pPr>
      <w:spacing w:after="0" w:line="240" w:lineRule="auto"/>
    </w:pPr>
    <w:rPr>
      <w:rFonts w:ascii="Calibri" w:eastAsia="Calibri" w:hAnsi="Calibri" w:cs="Times New Roman"/>
    </w:rPr>
  </w:style>
  <w:style w:type="paragraph" w:styleId="affd">
    <w:name w:val="Block Text"/>
    <w:basedOn w:val="a4"/>
    <w:semiHidden/>
    <w:rsid w:val="007F6DBF"/>
    <w:pPr>
      <w:widowControl w:val="0"/>
      <w:ind w:left="520" w:right="17"/>
      <w:jc w:val="both"/>
    </w:pPr>
    <w:rPr>
      <w:snapToGrid w:val="0"/>
      <w:sz w:val="26"/>
      <w:szCs w:val="20"/>
    </w:rPr>
  </w:style>
  <w:style w:type="paragraph" w:customStyle="1" w:styleId="19">
    <w:name w:val="Знак1 Знак Знак Знак"/>
    <w:basedOn w:val="a4"/>
    <w:rsid w:val="007F6DBF"/>
    <w:pPr>
      <w:spacing w:after="160" w:line="240" w:lineRule="exact"/>
    </w:pPr>
    <w:rPr>
      <w:rFonts w:ascii="Verdana" w:hAnsi="Verdana" w:cs="Verdana"/>
      <w:sz w:val="20"/>
      <w:szCs w:val="20"/>
      <w:lang w:val="en-US" w:eastAsia="en-US"/>
    </w:rPr>
  </w:style>
  <w:style w:type="paragraph" w:customStyle="1" w:styleId="affe">
    <w:name w:val="Знак Знак"/>
    <w:basedOn w:val="a4"/>
    <w:rsid w:val="007F6DBF"/>
    <w:pPr>
      <w:spacing w:after="160" w:line="240" w:lineRule="exact"/>
    </w:pPr>
    <w:rPr>
      <w:rFonts w:ascii="Verdana" w:hAnsi="Verdana" w:cs="Verdana"/>
      <w:sz w:val="20"/>
      <w:szCs w:val="20"/>
      <w:lang w:val="en-US" w:eastAsia="en-US"/>
    </w:rPr>
  </w:style>
  <w:style w:type="paragraph" w:customStyle="1" w:styleId="27">
    <w:name w:val="Знак2"/>
    <w:basedOn w:val="a4"/>
    <w:rsid w:val="007F6DBF"/>
    <w:pPr>
      <w:spacing w:after="160" w:line="240" w:lineRule="exact"/>
    </w:pPr>
    <w:rPr>
      <w:rFonts w:ascii="Verdana" w:hAnsi="Verdana" w:cs="Verdana"/>
      <w:sz w:val="20"/>
      <w:szCs w:val="20"/>
      <w:lang w:val="en-US" w:eastAsia="en-US"/>
    </w:rPr>
  </w:style>
  <w:style w:type="paragraph" w:customStyle="1" w:styleId="1a">
    <w:name w:val="Знак Знак Знак1 Знак Знак Знак Знак Знак Знак Знак Знак Знак Знак"/>
    <w:basedOn w:val="a4"/>
    <w:rsid w:val="007F6DBF"/>
    <w:pPr>
      <w:spacing w:after="160" w:line="240" w:lineRule="exact"/>
    </w:pPr>
    <w:rPr>
      <w:rFonts w:ascii="Verdana" w:hAnsi="Verdana" w:cs="Verdana"/>
      <w:sz w:val="20"/>
      <w:szCs w:val="20"/>
      <w:lang w:val="en-US" w:eastAsia="en-US"/>
    </w:rPr>
  </w:style>
  <w:style w:type="paragraph" w:styleId="afff">
    <w:name w:val="caption"/>
    <w:basedOn w:val="a4"/>
    <w:next w:val="a4"/>
    <w:qFormat/>
    <w:rsid w:val="007F6DBF"/>
    <w:rPr>
      <w:b/>
      <w:bCs/>
      <w:sz w:val="20"/>
      <w:szCs w:val="20"/>
    </w:rPr>
  </w:style>
  <w:style w:type="paragraph" w:customStyle="1" w:styleId="afff0">
    <w:name w:val="Îñíîâíîé òåêñò"/>
    <w:basedOn w:val="a4"/>
    <w:rsid w:val="007F6DBF"/>
    <w:pPr>
      <w:widowControl w:val="0"/>
      <w:tabs>
        <w:tab w:val="left" w:pos="709"/>
      </w:tabs>
      <w:jc w:val="both"/>
    </w:pPr>
    <w:rPr>
      <w:rFonts w:ascii="a_FuturaOrto" w:hAnsi="a_FuturaOrto"/>
      <w:color w:val="000000"/>
      <w:szCs w:val="20"/>
    </w:rPr>
  </w:style>
  <w:style w:type="character" w:customStyle="1" w:styleId="Subst0">
    <w:name w:val="Subst"/>
    <w:uiPriority w:val="99"/>
    <w:rsid w:val="007F6DBF"/>
    <w:rPr>
      <w:b/>
      <w:i/>
    </w:rPr>
  </w:style>
  <w:style w:type="paragraph" w:styleId="28">
    <w:name w:val="List 2"/>
    <w:basedOn w:val="a4"/>
    <w:semiHidden/>
    <w:rsid w:val="007F6DBF"/>
    <w:pPr>
      <w:ind w:left="566" w:hanging="283"/>
    </w:pPr>
  </w:style>
  <w:style w:type="character" w:customStyle="1" w:styleId="ei1">
    <w:name w:val="ei1"/>
    <w:basedOn w:val="a5"/>
    <w:rsid w:val="007F6DBF"/>
  </w:style>
  <w:style w:type="paragraph" w:customStyle="1" w:styleId="Style3">
    <w:name w:val="Style3"/>
    <w:basedOn w:val="a4"/>
    <w:rsid w:val="007F6DBF"/>
    <w:pPr>
      <w:widowControl w:val="0"/>
      <w:autoSpaceDE w:val="0"/>
      <w:autoSpaceDN w:val="0"/>
      <w:adjustRightInd w:val="0"/>
      <w:ind w:firstLine="709"/>
      <w:jc w:val="right"/>
    </w:pPr>
    <w:rPr>
      <w:rFonts w:ascii="Courier New" w:hAnsi="Courier New" w:cs="Courier New"/>
      <w:lang w:eastAsia="en-US"/>
    </w:rPr>
  </w:style>
  <w:style w:type="paragraph" w:customStyle="1" w:styleId="hd">
    <w:name w:val="Верхний колонтитул.hd"/>
    <w:basedOn w:val="a4"/>
    <w:rsid w:val="007F6DBF"/>
    <w:pPr>
      <w:widowControl w:val="0"/>
      <w:tabs>
        <w:tab w:val="center" w:pos="4153"/>
        <w:tab w:val="right" w:pos="8306"/>
      </w:tabs>
      <w:autoSpaceDE w:val="0"/>
      <w:autoSpaceDN w:val="0"/>
      <w:spacing w:before="40"/>
      <w:ind w:left="200"/>
    </w:pPr>
    <w:rPr>
      <w:sz w:val="22"/>
      <w:szCs w:val="22"/>
    </w:rPr>
  </w:style>
  <w:style w:type="character" w:customStyle="1" w:styleId="29">
    <w:name w:val="Знак Знак2"/>
    <w:rsid w:val="007F6DBF"/>
    <w:rPr>
      <w:sz w:val="24"/>
      <w:lang w:val="ru-RU" w:eastAsia="ru-RU" w:bidi="ar-SA"/>
    </w:rPr>
  </w:style>
  <w:style w:type="character" w:customStyle="1" w:styleId="1b">
    <w:name w:val="Знак Знак1"/>
    <w:rsid w:val="007F6DBF"/>
    <w:rPr>
      <w:i/>
      <w:sz w:val="28"/>
      <w:u w:val="single"/>
      <w:lang w:val="ru-RU" w:eastAsia="ru-RU" w:bidi="ar-SA"/>
    </w:rPr>
  </w:style>
  <w:style w:type="paragraph" w:styleId="1c">
    <w:name w:val="toc 1"/>
    <w:basedOn w:val="a4"/>
    <w:next w:val="a4"/>
    <w:autoRedefine/>
    <w:uiPriority w:val="39"/>
    <w:rsid w:val="007F6DBF"/>
  </w:style>
  <w:style w:type="paragraph" w:customStyle="1" w:styleId="prilozhenieglava">
    <w:name w:val="prilozhenie glava"/>
    <w:basedOn w:val="a4"/>
    <w:rsid w:val="007F6DBF"/>
    <w:pPr>
      <w:spacing w:before="240" w:after="240"/>
      <w:jc w:val="center"/>
    </w:pPr>
    <w:rPr>
      <w:b/>
      <w:bCs/>
      <w:caps/>
      <w:lang w:eastAsia="en-US"/>
    </w:rPr>
  </w:style>
  <w:style w:type="paragraph" w:customStyle="1" w:styleId="afff1">
    <w:name w:val="Обзор"/>
    <w:basedOn w:val="a4"/>
    <w:rsid w:val="007F6DBF"/>
    <w:pPr>
      <w:ind w:firstLine="397"/>
      <w:jc w:val="both"/>
    </w:pPr>
  </w:style>
  <w:style w:type="table" w:customStyle="1" w:styleId="1d">
    <w:name w:val="Сетка таблицы1"/>
    <w:basedOn w:val="a6"/>
    <w:next w:val="af2"/>
    <w:uiPriority w:val="59"/>
    <w:rsid w:val="007F6DB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style-span">
    <w:name w:val="apple-style-span"/>
    <w:rsid w:val="007F6DBF"/>
  </w:style>
  <w:style w:type="table" w:customStyle="1" w:styleId="113">
    <w:name w:val="Сетка таблицы11"/>
    <w:basedOn w:val="a6"/>
    <w:next w:val="af2"/>
    <w:uiPriority w:val="59"/>
    <w:rsid w:val="007F6DB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a">
    <w:name w:val="Знак Знак2 Знак Знак"/>
    <w:basedOn w:val="a4"/>
    <w:rsid w:val="007F6DBF"/>
    <w:pPr>
      <w:tabs>
        <w:tab w:val="num" w:pos="1287"/>
      </w:tabs>
      <w:spacing w:after="160" w:line="240" w:lineRule="exact"/>
      <w:ind w:left="1287" w:hanging="720"/>
      <w:jc w:val="both"/>
    </w:pPr>
    <w:rPr>
      <w:rFonts w:ascii="Verdana" w:hAnsi="Verdana" w:cs="Arial"/>
      <w:sz w:val="20"/>
      <w:szCs w:val="20"/>
      <w:lang w:val="en-US" w:eastAsia="en-US"/>
    </w:rPr>
  </w:style>
  <w:style w:type="paragraph" w:customStyle="1" w:styleId="NumHead2">
    <w:name w:val="NumHead 2"/>
    <w:basedOn w:val="a4"/>
    <w:next w:val="a4"/>
    <w:rsid w:val="007F6DBF"/>
    <w:pPr>
      <w:keepNext/>
      <w:keepLines/>
      <w:tabs>
        <w:tab w:val="num" w:pos="360"/>
        <w:tab w:val="num" w:pos="720"/>
        <w:tab w:val="left" w:pos="1008"/>
        <w:tab w:val="num" w:pos="1440"/>
        <w:tab w:val="num" w:pos="2574"/>
      </w:tabs>
      <w:spacing w:before="360" w:line="270" w:lineRule="atLeast"/>
      <w:ind w:left="1008" w:hanging="1008"/>
    </w:pPr>
    <w:rPr>
      <w:rFonts w:ascii="Arial" w:hAnsi="Arial"/>
      <w:b/>
      <w:sz w:val="22"/>
      <w:szCs w:val="22"/>
      <w:lang w:val="en-GB" w:eastAsia="en-US"/>
    </w:rPr>
  </w:style>
  <w:style w:type="table" w:customStyle="1" w:styleId="2b">
    <w:name w:val="Сетка таблицы2"/>
    <w:basedOn w:val="a6"/>
    <w:next w:val="af2"/>
    <w:uiPriority w:val="59"/>
    <w:rsid w:val="007F6DBF"/>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
    <w:name w:val="Сетка таблицы3"/>
    <w:basedOn w:val="a6"/>
    <w:next w:val="af2"/>
    <w:uiPriority w:val="59"/>
    <w:rsid w:val="006476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6"/>
    <w:next w:val="af2"/>
    <w:uiPriority w:val="59"/>
    <w:rsid w:val="00771B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7"/>
    <w:uiPriority w:val="99"/>
    <w:semiHidden/>
    <w:unhideWhenUsed/>
    <w:rsid w:val="00C649E3"/>
  </w:style>
  <w:style w:type="character" w:customStyle="1" w:styleId="1e">
    <w:name w:val="Основной текст Знак1"/>
    <w:aliases w:val="body text Знак1"/>
    <w:basedOn w:val="a5"/>
    <w:semiHidden/>
    <w:rsid w:val="00C649E3"/>
    <w:rPr>
      <w:rFonts w:ascii="Times New Roman" w:eastAsia="Times New Roman" w:hAnsi="Times New Roman" w:cs="Times New Roman"/>
      <w:sz w:val="24"/>
      <w:szCs w:val="24"/>
      <w:lang w:eastAsia="ru-RU"/>
    </w:rPr>
  </w:style>
  <w:style w:type="character" w:customStyle="1" w:styleId="1f">
    <w:name w:val="Текст Знак1"/>
    <w:aliases w:val="Текст Знак Знак Знак Знак Знак Знак Знак Знак Знак Знак Знак1"/>
    <w:basedOn w:val="a5"/>
    <w:semiHidden/>
    <w:rsid w:val="00C649E3"/>
    <w:rPr>
      <w:rFonts w:ascii="Consolas" w:eastAsia="Times New Roman" w:hAnsi="Consolas" w:cs="Consolas"/>
      <w:sz w:val="21"/>
      <w:szCs w:val="21"/>
      <w:lang w:eastAsia="ru-RU"/>
    </w:rPr>
  </w:style>
  <w:style w:type="table" w:customStyle="1" w:styleId="51">
    <w:name w:val="Сетка таблицы5"/>
    <w:basedOn w:val="a6"/>
    <w:next w:val="af2"/>
    <w:uiPriority w:val="59"/>
    <w:rsid w:val="00C649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6"/>
    <w:uiPriority w:val="59"/>
    <w:rsid w:val="00C649E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6"/>
    <w:uiPriority w:val="59"/>
    <w:rsid w:val="00C649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6"/>
    <w:uiPriority w:val="59"/>
    <w:rsid w:val="00C649E3"/>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638142">
      <w:bodyDiv w:val="1"/>
      <w:marLeft w:val="0"/>
      <w:marRight w:val="0"/>
      <w:marTop w:val="0"/>
      <w:marBottom w:val="0"/>
      <w:divBdr>
        <w:top w:val="none" w:sz="0" w:space="0" w:color="auto"/>
        <w:left w:val="none" w:sz="0" w:space="0" w:color="auto"/>
        <w:bottom w:val="none" w:sz="0" w:space="0" w:color="auto"/>
        <w:right w:val="none" w:sz="0" w:space="0" w:color="auto"/>
      </w:divBdr>
    </w:div>
    <w:div w:id="150486209">
      <w:bodyDiv w:val="1"/>
      <w:marLeft w:val="0"/>
      <w:marRight w:val="0"/>
      <w:marTop w:val="0"/>
      <w:marBottom w:val="0"/>
      <w:divBdr>
        <w:top w:val="none" w:sz="0" w:space="0" w:color="auto"/>
        <w:left w:val="none" w:sz="0" w:space="0" w:color="auto"/>
        <w:bottom w:val="none" w:sz="0" w:space="0" w:color="auto"/>
        <w:right w:val="none" w:sz="0" w:space="0" w:color="auto"/>
      </w:divBdr>
    </w:div>
    <w:div w:id="152842443">
      <w:bodyDiv w:val="1"/>
      <w:marLeft w:val="0"/>
      <w:marRight w:val="0"/>
      <w:marTop w:val="0"/>
      <w:marBottom w:val="0"/>
      <w:divBdr>
        <w:top w:val="none" w:sz="0" w:space="0" w:color="auto"/>
        <w:left w:val="none" w:sz="0" w:space="0" w:color="auto"/>
        <w:bottom w:val="none" w:sz="0" w:space="0" w:color="auto"/>
        <w:right w:val="none" w:sz="0" w:space="0" w:color="auto"/>
      </w:divBdr>
    </w:div>
    <w:div w:id="178744264">
      <w:bodyDiv w:val="1"/>
      <w:marLeft w:val="0"/>
      <w:marRight w:val="0"/>
      <w:marTop w:val="0"/>
      <w:marBottom w:val="0"/>
      <w:divBdr>
        <w:top w:val="none" w:sz="0" w:space="0" w:color="auto"/>
        <w:left w:val="none" w:sz="0" w:space="0" w:color="auto"/>
        <w:bottom w:val="none" w:sz="0" w:space="0" w:color="auto"/>
        <w:right w:val="none" w:sz="0" w:space="0" w:color="auto"/>
      </w:divBdr>
    </w:div>
    <w:div w:id="188572586">
      <w:bodyDiv w:val="1"/>
      <w:marLeft w:val="0"/>
      <w:marRight w:val="0"/>
      <w:marTop w:val="0"/>
      <w:marBottom w:val="0"/>
      <w:divBdr>
        <w:top w:val="none" w:sz="0" w:space="0" w:color="auto"/>
        <w:left w:val="none" w:sz="0" w:space="0" w:color="auto"/>
        <w:bottom w:val="none" w:sz="0" w:space="0" w:color="auto"/>
        <w:right w:val="none" w:sz="0" w:space="0" w:color="auto"/>
      </w:divBdr>
    </w:div>
    <w:div w:id="244804189">
      <w:bodyDiv w:val="1"/>
      <w:marLeft w:val="0"/>
      <w:marRight w:val="0"/>
      <w:marTop w:val="0"/>
      <w:marBottom w:val="0"/>
      <w:divBdr>
        <w:top w:val="none" w:sz="0" w:space="0" w:color="auto"/>
        <w:left w:val="none" w:sz="0" w:space="0" w:color="auto"/>
        <w:bottom w:val="none" w:sz="0" w:space="0" w:color="auto"/>
        <w:right w:val="none" w:sz="0" w:space="0" w:color="auto"/>
      </w:divBdr>
    </w:div>
    <w:div w:id="308286939">
      <w:bodyDiv w:val="1"/>
      <w:marLeft w:val="0"/>
      <w:marRight w:val="0"/>
      <w:marTop w:val="0"/>
      <w:marBottom w:val="0"/>
      <w:divBdr>
        <w:top w:val="none" w:sz="0" w:space="0" w:color="auto"/>
        <w:left w:val="none" w:sz="0" w:space="0" w:color="auto"/>
        <w:bottom w:val="none" w:sz="0" w:space="0" w:color="auto"/>
        <w:right w:val="none" w:sz="0" w:space="0" w:color="auto"/>
      </w:divBdr>
    </w:div>
    <w:div w:id="322389567">
      <w:bodyDiv w:val="1"/>
      <w:marLeft w:val="0"/>
      <w:marRight w:val="0"/>
      <w:marTop w:val="0"/>
      <w:marBottom w:val="0"/>
      <w:divBdr>
        <w:top w:val="none" w:sz="0" w:space="0" w:color="auto"/>
        <w:left w:val="none" w:sz="0" w:space="0" w:color="auto"/>
        <w:bottom w:val="none" w:sz="0" w:space="0" w:color="auto"/>
        <w:right w:val="none" w:sz="0" w:space="0" w:color="auto"/>
      </w:divBdr>
    </w:div>
    <w:div w:id="374741411">
      <w:bodyDiv w:val="1"/>
      <w:marLeft w:val="0"/>
      <w:marRight w:val="0"/>
      <w:marTop w:val="0"/>
      <w:marBottom w:val="0"/>
      <w:divBdr>
        <w:top w:val="none" w:sz="0" w:space="0" w:color="auto"/>
        <w:left w:val="none" w:sz="0" w:space="0" w:color="auto"/>
        <w:bottom w:val="none" w:sz="0" w:space="0" w:color="auto"/>
        <w:right w:val="none" w:sz="0" w:space="0" w:color="auto"/>
      </w:divBdr>
    </w:div>
    <w:div w:id="487674799">
      <w:bodyDiv w:val="1"/>
      <w:marLeft w:val="0"/>
      <w:marRight w:val="0"/>
      <w:marTop w:val="0"/>
      <w:marBottom w:val="0"/>
      <w:divBdr>
        <w:top w:val="none" w:sz="0" w:space="0" w:color="auto"/>
        <w:left w:val="none" w:sz="0" w:space="0" w:color="auto"/>
        <w:bottom w:val="none" w:sz="0" w:space="0" w:color="auto"/>
        <w:right w:val="none" w:sz="0" w:space="0" w:color="auto"/>
      </w:divBdr>
    </w:div>
    <w:div w:id="510223733">
      <w:bodyDiv w:val="1"/>
      <w:marLeft w:val="0"/>
      <w:marRight w:val="0"/>
      <w:marTop w:val="0"/>
      <w:marBottom w:val="0"/>
      <w:divBdr>
        <w:top w:val="none" w:sz="0" w:space="0" w:color="auto"/>
        <w:left w:val="none" w:sz="0" w:space="0" w:color="auto"/>
        <w:bottom w:val="none" w:sz="0" w:space="0" w:color="auto"/>
        <w:right w:val="none" w:sz="0" w:space="0" w:color="auto"/>
      </w:divBdr>
    </w:div>
    <w:div w:id="525485236">
      <w:bodyDiv w:val="1"/>
      <w:marLeft w:val="0"/>
      <w:marRight w:val="0"/>
      <w:marTop w:val="0"/>
      <w:marBottom w:val="0"/>
      <w:divBdr>
        <w:top w:val="none" w:sz="0" w:space="0" w:color="auto"/>
        <w:left w:val="none" w:sz="0" w:space="0" w:color="auto"/>
        <w:bottom w:val="none" w:sz="0" w:space="0" w:color="auto"/>
        <w:right w:val="none" w:sz="0" w:space="0" w:color="auto"/>
      </w:divBdr>
    </w:div>
    <w:div w:id="536352081">
      <w:bodyDiv w:val="1"/>
      <w:marLeft w:val="0"/>
      <w:marRight w:val="0"/>
      <w:marTop w:val="0"/>
      <w:marBottom w:val="0"/>
      <w:divBdr>
        <w:top w:val="none" w:sz="0" w:space="0" w:color="auto"/>
        <w:left w:val="none" w:sz="0" w:space="0" w:color="auto"/>
        <w:bottom w:val="none" w:sz="0" w:space="0" w:color="auto"/>
        <w:right w:val="none" w:sz="0" w:space="0" w:color="auto"/>
      </w:divBdr>
    </w:div>
    <w:div w:id="555312895">
      <w:bodyDiv w:val="1"/>
      <w:marLeft w:val="0"/>
      <w:marRight w:val="0"/>
      <w:marTop w:val="0"/>
      <w:marBottom w:val="0"/>
      <w:divBdr>
        <w:top w:val="none" w:sz="0" w:space="0" w:color="auto"/>
        <w:left w:val="none" w:sz="0" w:space="0" w:color="auto"/>
        <w:bottom w:val="none" w:sz="0" w:space="0" w:color="auto"/>
        <w:right w:val="none" w:sz="0" w:space="0" w:color="auto"/>
      </w:divBdr>
    </w:div>
    <w:div w:id="621885601">
      <w:bodyDiv w:val="1"/>
      <w:marLeft w:val="0"/>
      <w:marRight w:val="0"/>
      <w:marTop w:val="0"/>
      <w:marBottom w:val="0"/>
      <w:divBdr>
        <w:top w:val="none" w:sz="0" w:space="0" w:color="auto"/>
        <w:left w:val="none" w:sz="0" w:space="0" w:color="auto"/>
        <w:bottom w:val="none" w:sz="0" w:space="0" w:color="auto"/>
        <w:right w:val="none" w:sz="0" w:space="0" w:color="auto"/>
      </w:divBdr>
    </w:div>
    <w:div w:id="772046340">
      <w:bodyDiv w:val="1"/>
      <w:marLeft w:val="0"/>
      <w:marRight w:val="0"/>
      <w:marTop w:val="0"/>
      <w:marBottom w:val="0"/>
      <w:divBdr>
        <w:top w:val="none" w:sz="0" w:space="0" w:color="auto"/>
        <w:left w:val="none" w:sz="0" w:space="0" w:color="auto"/>
        <w:bottom w:val="none" w:sz="0" w:space="0" w:color="auto"/>
        <w:right w:val="none" w:sz="0" w:space="0" w:color="auto"/>
      </w:divBdr>
    </w:div>
    <w:div w:id="1036154688">
      <w:bodyDiv w:val="1"/>
      <w:marLeft w:val="0"/>
      <w:marRight w:val="0"/>
      <w:marTop w:val="0"/>
      <w:marBottom w:val="0"/>
      <w:divBdr>
        <w:top w:val="none" w:sz="0" w:space="0" w:color="auto"/>
        <w:left w:val="none" w:sz="0" w:space="0" w:color="auto"/>
        <w:bottom w:val="none" w:sz="0" w:space="0" w:color="auto"/>
        <w:right w:val="none" w:sz="0" w:space="0" w:color="auto"/>
      </w:divBdr>
    </w:div>
    <w:div w:id="1088817466">
      <w:bodyDiv w:val="1"/>
      <w:marLeft w:val="0"/>
      <w:marRight w:val="0"/>
      <w:marTop w:val="0"/>
      <w:marBottom w:val="0"/>
      <w:divBdr>
        <w:top w:val="none" w:sz="0" w:space="0" w:color="auto"/>
        <w:left w:val="none" w:sz="0" w:space="0" w:color="auto"/>
        <w:bottom w:val="none" w:sz="0" w:space="0" w:color="auto"/>
        <w:right w:val="none" w:sz="0" w:space="0" w:color="auto"/>
      </w:divBdr>
    </w:div>
    <w:div w:id="1187018209">
      <w:bodyDiv w:val="1"/>
      <w:marLeft w:val="0"/>
      <w:marRight w:val="0"/>
      <w:marTop w:val="0"/>
      <w:marBottom w:val="0"/>
      <w:divBdr>
        <w:top w:val="none" w:sz="0" w:space="0" w:color="auto"/>
        <w:left w:val="none" w:sz="0" w:space="0" w:color="auto"/>
        <w:bottom w:val="none" w:sz="0" w:space="0" w:color="auto"/>
        <w:right w:val="none" w:sz="0" w:space="0" w:color="auto"/>
      </w:divBdr>
    </w:div>
    <w:div w:id="1561089680">
      <w:bodyDiv w:val="1"/>
      <w:marLeft w:val="0"/>
      <w:marRight w:val="0"/>
      <w:marTop w:val="0"/>
      <w:marBottom w:val="0"/>
      <w:divBdr>
        <w:top w:val="none" w:sz="0" w:space="0" w:color="auto"/>
        <w:left w:val="none" w:sz="0" w:space="0" w:color="auto"/>
        <w:bottom w:val="none" w:sz="0" w:space="0" w:color="auto"/>
        <w:right w:val="none" w:sz="0" w:space="0" w:color="auto"/>
      </w:divBdr>
    </w:div>
    <w:div w:id="1620141586">
      <w:bodyDiv w:val="1"/>
      <w:marLeft w:val="0"/>
      <w:marRight w:val="0"/>
      <w:marTop w:val="0"/>
      <w:marBottom w:val="0"/>
      <w:divBdr>
        <w:top w:val="none" w:sz="0" w:space="0" w:color="auto"/>
        <w:left w:val="none" w:sz="0" w:space="0" w:color="auto"/>
        <w:bottom w:val="none" w:sz="0" w:space="0" w:color="auto"/>
        <w:right w:val="none" w:sz="0" w:space="0" w:color="auto"/>
      </w:divBdr>
    </w:div>
    <w:div w:id="1819566073">
      <w:bodyDiv w:val="1"/>
      <w:marLeft w:val="0"/>
      <w:marRight w:val="0"/>
      <w:marTop w:val="0"/>
      <w:marBottom w:val="0"/>
      <w:divBdr>
        <w:top w:val="none" w:sz="0" w:space="0" w:color="auto"/>
        <w:left w:val="none" w:sz="0" w:space="0" w:color="auto"/>
        <w:bottom w:val="none" w:sz="0" w:space="0" w:color="auto"/>
        <w:right w:val="none" w:sz="0" w:space="0" w:color="auto"/>
      </w:divBdr>
    </w:div>
    <w:div w:id="1841044442">
      <w:bodyDiv w:val="1"/>
      <w:marLeft w:val="0"/>
      <w:marRight w:val="0"/>
      <w:marTop w:val="0"/>
      <w:marBottom w:val="0"/>
      <w:divBdr>
        <w:top w:val="none" w:sz="0" w:space="0" w:color="auto"/>
        <w:left w:val="none" w:sz="0" w:space="0" w:color="auto"/>
        <w:bottom w:val="none" w:sz="0" w:space="0" w:color="auto"/>
        <w:right w:val="none" w:sz="0" w:space="0" w:color="auto"/>
      </w:divBdr>
    </w:div>
    <w:div w:id="1863780589">
      <w:bodyDiv w:val="1"/>
      <w:marLeft w:val="0"/>
      <w:marRight w:val="0"/>
      <w:marTop w:val="0"/>
      <w:marBottom w:val="0"/>
      <w:divBdr>
        <w:top w:val="none" w:sz="0" w:space="0" w:color="auto"/>
        <w:left w:val="none" w:sz="0" w:space="0" w:color="auto"/>
        <w:bottom w:val="none" w:sz="0" w:space="0" w:color="auto"/>
        <w:right w:val="none" w:sz="0" w:space="0" w:color="auto"/>
      </w:divBdr>
    </w:div>
    <w:div w:id="1999190243">
      <w:bodyDiv w:val="1"/>
      <w:marLeft w:val="0"/>
      <w:marRight w:val="0"/>
      <w:marTop w:val="0"/>
      <w:marBottom w:val="0"/>
      <w:divBdr>
        <w:top w:val="none" w:sz="0" w:space="0" w:color="auto"/>
        <w:left w:val="none" w:sz="0" w:space="0" w:color="auto"/>
        <w:bottom w:val="none" w:sz="0" w:space="0" w:color="auto"/>
        <w:right w:val="none" w:sz="0" w:space="0" w:color="auto"/>
      </w:divBdr>
    </w:div>
    <w:div w:id="2068331097">
      <w:bodyDiv w:val="1"/>
      <w:marLeft w:val="0"/>
      <w:marRight w:val="0"/>
      <w:marTop w:val="0"/>
      <w:marBottom w:val="0"/>
      <w:divBdr>
        <w:top w:val="none" w:sz="0" w:space="0" w:color="auto"/>
        <w:left w:val="none" w:sz="0" w:space="0" w:color="auto"/>
        <w:bottom w:val="none" w:sz="0" w:space="0" w:color="auto"/>
        <w:right w:val="none" w:sz="0" w:space="0" w:color="auto"/>
      </w:divBdr>
    </w:div>
    <w:div w:id="21433014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xml"/><Relationship Id="rId21" Type="http://schemas.openxmlformats.org/officeDocument/2006/relationships/hyperlink" Target="http://www.kabbalkenergo.ru" TargetMode="External"/><Relationship Id="rId42" Type="http://schemas.openxmlformats.org/officeDocument/2006/relationships/hyperlink" Target="http://kabbalkenergo.ru" TargetMode="External"/><Relationship Id="rId47" Type="http://schemas.openxmlformats.org/officeDocument/2006/relationships/chart" Target="charts/chart13.xml"/><Relationship Id="rId63" Type="http://schemas.openxmlformats.org/officeDocument/2006/relationships/hyperlink" Target="http://u.to/s/?d=www.kbrria.ru" TargetMode="External"/><Relationship Id="rId68" Type="http://schemas.openxmlformats.org/officeDocument/2006/relationships/hyperlink" Target="mailto:gedgagova@kabene.ru" TargetMode="Externa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chart" Target="charts/chart4.xml"/><Relationship Id="rId11" Type="http://schemas.openxmlformats.org/officeDocument/2006/relationships/hyperlink" Target="http://www.kabbalkenergo.ru" TargetMode="External"/><Relationship Id="rId24" Type="http://schemas.openxmlformats.org/officeDocument/2006/relationships/footer" Target="footer1.xml"/><Relationship Id="rId32" Type="http://schemas.openxmlformats.org/officeDocument/2006/relationships/chart" Target="charts/chart6.xml"/><Relationship Id="rId37" Type="http://schemas.openxmlformats.org/officeDocument/2006/relationships/chart" Target="charts/chart11.xml"/><Relationship Id="rId40" Type="http://schemas.openxmlformats.org/officeDocument/2006/relationships/chart" Target="charts/chart12.xml"/><Relationship Id="rId45" Type="http://schemas.openxmlformats.org/officeDocument/2006/relationships/hyperlink" Target="mailto:office@rostatus.ru" TargetMode="External"/><Relationship Id="rId53" Type="http://schemas.openxmlformats.org/officeDocument/2006/relationships/chart" Target="charts/chart17.xml"/><Relationship Id="rId58" Type="http://schemas.openxmlformats.org/officeDocument/2006/relationships/hyperlink" Target="http://u.to/s/?d=www.sk-news.ru" TargetMode="External"/><Relationship Id="rId66" Type="http://schemas.openxmlformats.org/officeDocument/2006/relationships/hyperlink" Target="http://u.to/s/?d=www.gp-energo.ru" TargetMode="External"/><Relationship Id="rId5" Type="http://schemas.openxmlformats.org/officeDocument/2006/relationships/settings" Target="settings.xml"/><Relationship Id="rId61" Type="http://schemas.openxmlformats.org/officeDocument/2006/relationships/hyperlink" Target="http://u.to/s/?d=nalchik.bezformata.ru" TargetMode="External"/><Relationship Id="rId19" Type="http://schemas.microsoft.com/office/2007/relationships/diagramDrawing" Target="diagrams/drawing1.xml"/><Relationship Id="rId14" Type="http://schemas.openxmlformats.org/officeDocument/2006/relationships/image" Target="media/image4.png"/><Relationship Id="rId22" Type="http://schemas.openxmlformats.org/officeDocument/2006/relationships/image" Target="media/image6.jpeg"/><Relationship Id="rId27" Type="http://schemas.openxmlformats.org/officeDocument/2006/relationships/chart" Target="charts/chart2.xml"/><Relationship Id="rId30" Type="http://schemas.openxmlformats.org/officeDocument/2006/relationships/chart" Target="charts/chart5.xml"/><Relationship Id="rId35" Type="http://schemas.openxmlformats.org/officeDocument/2006/relationships/chart" Target="charts/chart9.xml"/><Relationship Id="rId43" Type="http://schemas.openxmlformats.org/officeDocument/2006/relationships/hyperlink" Target="http://disclosure.skrin.ru/disclosure/0711008455" TargetMode="External"/><Relationship Id="rId48" Type="http://schemas.openxmlformats.org/officeDocument/2006/relationships/chart" Target="charts/chart14.xml"/><Relationship Id="rId56" Type="http://schemas.openxmlformats.org/officeDocument/2006/relationships/chart" Target="charts/chart20.xml"/><Relationship Id="rId64" Type="http://schemas.openxmlformats.org/officeDocument/2006/relationships/hyperlink" Target="http://u.to/s/?d=www.07kbr.ru" TargetMode="External"/><Relationship Id="rId69" Type="http://schemas.openxmlformats.org/officeDocument/2006/relationships/hyperlink" Target="mailto:dzugurova_fatima@kabene.ru" TargetMode="External"/><Relationship Id="rId8" Type="http://schemas.openxmlformats.org/officeDocument/2006/relationships/endnotes" Target="endnotes.xml"/><Relationship Id="rId51" Type="http://schemas.openxmlformats.org/officeDocument/2006/relationships/chart" Target="charts/chart16.xm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diagramQuickStyle" Target="diagrams/quickStyle1.xml"/><Relationship Id="rId25" Type="http://schemas.openxmlformats.org/officeDocument/2006/relationships/image" Target="media/image8.jpeg"/><Relationship Id="rId33" Type="http://schemas.openxmlformats.org/officeDocument/2006/relationships/chart" Target="charts/chart7.xml"/><Relationship Id="rId38" Type="http://schemas.openxmlformats.org/officeDocument/2006/relationships/footer" Target="footer2.xml"/><Relationship Id="rId46" Type="http://schemas.openxmlformats.org/officeDocument/2006/relationships/hyperlink" Target="http://www.rostatus.ru/" TargetMode="External"/><Relationship Id="rId59" Type="http://schemas.openxmlformats.org/officeDocument/2006/relationships/hyperlink" Target="http://u.to/s/?d=www.skfo.ru" TargetMode="External"/><Relationship Id="rId67" Type="http://schemas.openxmlformats.org/officeDocument/2006/relationships/hyperlink" Target="mailto:office@kabene.ru" TargetMode="External"/><Relationship Id="rId20" Type="http://schemas.openxmlformats.org/officeDocument/2006/relationships/image" Target="media/image5.png"/><Relationship Id="rId41" Type="http://schemas.openxmlformats.org/officeDocument/2006/relationships/image" Target="media/image9.jpeg"/><Relationship Id="rId54" Type="http://schemas.openxmlformats.org/officeDocument/2006/relationships/chart" Target="charts/chart18.xml"/><Relationship Id="rId62" Type="http://schemas.openxmlformats.org/officeDocument/2006/relationships/hyperlink" Target="http://u.to/s/?d=www.kbr-time.ru" TargetMode="External"/><Relationship Id="rId70" Type="http://schemas.openxmlformats.org/officeDocument/2006/relationships/hyperlink" Target="mailto:schetinin@group-adk.ru"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image" Target="media/image7.jpeg"/><Relationship Id="rId28" Type="http://schemas.openxmlformats.org/officeDocument/2006/relationships/chart" Target="charts/chart3.xml"/><Relationship Id="rId36" Type="http://schemas.openxmlformats.org/officeDocument/2006/relationships/chart" Target="charts/chart10.xml"/><Relationship Id="rId49" Type="http://schemas.openxmlformats.org/officeDocument/2006/relationships/image" Target="media/image10.png"/><Relationship Id="rId57" Type="http://schemas.openxmlformats.org/officeDocument/2006/relationships/chart" Target="charts/chart21.xml"/><Relationship Id="rId10" Type="http://schemas.openxmlformats.org/officeDocument/2006/relationships/hyperlink" Target="mailto:office@kabene.ru" TargetMode="External"/><Relationship Id="rId31" Type="http://schemas.openxmlformats.org/officeDocument/2006/relationships/hyperlink" Target="http://www.zakupki.gov.ru" TargetMode="External"/><Relationship Id="rId44" Type="http://schemas.openxmlformats.org/officeDocument/2006/relationships/hyperlink" Target="http://kabbalkenergo.ru" TargetMode="External"/><Relationship Id="rId52" Type="http://schemas.openxmlformats.org/officeDocument/2006/relationships/image" Target="media/image11.png"/><Relationship Id="rId60" Type="http://schemas.openxmlformats.org/officeDocument/2006/relationships/hyperlink" Target="http://u.to/s/?d=www.news-kbr.ru" TargetMode="External"/><Relationship Id="rId65" Type="http://schemas.openxmlformats.org/officeDocument/2006/relationships/hyperlink" Target="http://u.to/s/?d=www.kabbalkenergo.ru" TargetMode="Externa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diagramColors" Target="diagrams/colors1.xml"/><Relationship Id="rId39" Type="http://schemas.openxmlformats.org/officeDocument/2006/relationships/footer" Target="footer3.xml"/><Relationship Id="rId34" Type="http://schemas.openxmlformats.org/officeDocument/2006/relationships/chart" Target="charts/chart8.xml"/><Relationship Id="rId50" Type="http://schemas.openxmlformats.org/officeDocument/2006/relationships/chart" Target="charts/chart15.xml"/><Relationship Id="rId55" Type="http://schemas.openxmlformats.org/officeDocument/2006/relationships/chart" Target="charts/chart19.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2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6.0834488381691323E-2"/>
          <c:y val="0.14694963929787447"/>
          <c:w val="0.52889580072650355"/>
          <c:h val="0.80354285267082237"/>
        </c:manualLayout>
      </c:layout>
      <c:pie3DChart>
        <c:varyColors val="1"/>
        <c:ser>
          <c:idx val="0"/>
          <c:order val="0"/>
          <c:explosion val="25"/>
          <c:dLbls>
            <c:dLbl>
              <c:idx val="0"/>
              <c:layout>
                <c:manualLayout>
                  <c:x val="-4.3011433915588135E-2"/>
                  <c:y val="-0.10133086514034607"/>
                </c:manualLayout>
              </c:layout>
              <c:showLegendKey val="0"/>
              <c:showVal val="1"/>
              <c:showCatName val="0"/>
              <c:showSerName val="0"/>
              <c:showPercent val="0"/>
              <c:showBubbleSize val="0"/>
            </c:dLbl>
            <c:dLbl>
              <c:idx val="1"/>
              <c:layout>
                <c:manualLayout>
                  <c:x val="3.2939934232358886E-2"/>
                  <c:y val="0.11682825606973685"/>
                </c:manualLayout>
              </c:layout>
              <c:showLegendKey val="0"/>
              <c:showVal val="1"/>
              <c:showCatName val="0"/>
              <c:showSerName val="0"/>
              <c:showPercent val="0"/>
              <c:showBubbleSize val="0"/>
            </c:dLbl>
            <c:dLbl>
              <c:idx val="4"/>
              <c:layout>
                <c:manualLayout>
                  <c:x val="-0.11359248197423598"/>
                  <c:y val="-9.6219373183669715E-2"/>
                </c:manualLayout>
              </c:layout>
              <c:showLegendKey val="0"/>
              <c:showVal val="1"/>
              <c:showCatName val="0"/>
              <c:showSerName val="0"/>
              <c:showPercent val="0"/>
              <c:showBubbleSize val="0"/>
            </c:dLbl>
            <c:dLbl>
              <c:idx val="5"/>
              <c:layout>
                <c:manualLayout>
                  <c:x val="-6.7597369294355447E-2"/>
                  <c:y val="-0.16614625066463973"/>
                </c:manualLayout>
              </c:layout>
              <c:showLegendKey val="0"/>
              <c:showVal val="1"/>
              <c:showCatName val="0"/>
              <c:showSerName val="0"/>
              <c:showPercent val="0"/>
              <c:showBubbleSize val="0"/>
            </c:dLbl>
            <c:dLbl>
              <c:idx val="7"/>
              <c:layout>
                <c:manualLayout>
                  <c:x val="0.13111121167325349"/>
                  <c:y val="-8.1710725769965464E-2"/>
                </c:manualLayout>
              </c:layout>
              <c:showLegendKey val="0"/>
              <c:showVal val="1"/>
              <c:showCatName val="0"/>
              <c:showSerName val="0"/>
              <c:showPercent val="0"/>
              <c:showBubbleSize val="0"/>
            </c:dLbl>
            <c:showLegendKey val="0"/>
            <c:showVal val="1"/>
            <c:showCatName val="0"/>
            <c:showSerName val="0"/>
            <c:showPercent val="0"/>
            <c:showBubbleSize val="0"/>
            <c:showLeaderLines val="1"/>
          </c:dLbls>
          <c:cat>
            <c:strRef>
              <c:f>'Структура расходов'!$O$17:$O$21</c:f>
              <c:strCache>
                <c:ptCount val="5"/>
                <c:pt idx="0">
                  <c:v>Покупная электроэнергия  и мощность </c:v>
                </c:pt>
                <c:pt idx="1">
                  <c:v>Услуги распределительных сетевых компаний</c:v>
                </c:pt>
                <c:pt idx="2">
                  <c:v>Сырье и материалы</c:v>
                </c:pt>
                <c:pt idx="3">
                  <c:v>Расходы на персонал</c:v>
                </c:pt>
                <c:pt idx="4">
                  <c:v>Прочие затраты</c:v>
                </c:pt>
              </c:strCache>
            </c:strRef>
          </c:cat>
          <c:val>
            <c:numRef>
              <c:f>'Структура расходов'!$P$17:$P$21</c:f>
            </c:numRef>
          </c:val>
        </c:ser>
        <c:ser>
          <c:idx val="1"/>
          <c:order val="1"/>
          <c:spPr>
            <a:effectLst>
              <a:outerShdw blurRad="50800" dist="38100" dir="18900000" algn="bl" rotWithShape="0">
                <a:prstClr val="black">
                  <a:alpha val="40000"/>
                </a:prstClr>
              </a:outerShdw>
            </a:effectLst>
            <a:scene3d>
              <a:camera prst="orthographicFront"/>
              <a:lightRig rig="threePt" dir="t"/>
            </a:scene3d>
            <a:sp3d>
              <a:bevelT h="25400"/>
            </a:sp3d>
          </c:spPr>
          <c:explosion val="19"/>
          <c:dLbls>
            <c:dLbl>
              <c:idx val="0"/>
              <c:layout>
                <c:manualLayout>
                  <c:x val="-9.8213287730223829E-3"/>
                  <c:y val="-0.12748646318743806"/>
                </c:manualLayout>
              </c:layout>
              <c:showLegendKey val="0"/>
              <c:showVal val="1"/>
              <c:showCatName val="0"/>
              <c:showSerName val="0"/>
              <c:showPercent val="0"/>
              <c:showBubbleSize val="0"/>
            </c:dLbl>
            <c:dLbl>
              <c:idx val="1"/>
              <c:layout>
                <c:manualLayout>
                  <c:x val="9.7393032509544859E-3"/>
                  <c:y val="3.6917676252497582E-2"/>
                </c:manualLayout>
              </c:layout>
              <c:showLegendKey val="0"/>
              <c:showVal val="1"/>
              <c:showCatName val="0"/>
              <c:showSerName val="0"/>
              <c:showPercent val="0"/>
              <c:showBubbleSize val="0"/>
            </c:dLbl>
            <c:dLbl>
              <c:idx val="2"/>
              <c:layout>
                <c:manualLayout>
                  <c:x val="-4.3944884625615591E-2"/>
                  <c:y val="-2.6914870655880198E-2"/>
                </c:manualLayout>
              </c:layout>
              <c:showLegendKey val="0"/>
              <c:showVal val="1"/>
              <c:showCatName val="0"/>
              <c:showSerName val="0"/>
              <c:showPercent val="0"/>
              <c:showBubbleSize val="0"/>
            </c:dLbl>
            <c:dLbl>
              <c:idx val="3"/>
              <c:layout>
                <c:manualLayout>
                  <c:x val="4.2312750029820899E-2"/>
                  <c:y val="-6.4206626457362193E-2"/>
                </c:manualLayout>
              </c:layout>
              <c:showLegendKey val="0"/>
              <c:showVal val="1"/>
              <c:showCatName val="0"/>
              <c:showSerName val="0"/>
              <c:showPercent val="0"/>
              <c:showBubbleSize val="0"/>
            </c:dLbl>
            <c:dLbl>
              <c:idx val="4"/>
              <c:layout>
                <c:manualLayout>
                  <c:x val="2.6715625890836162E-2"/>
                  <c:y val="-6.272483314854449E-2"/>
                </c:manualLayout>
              </c:layout>
              <c:showLegendKey val="0"/>
              <c:showVal val="1"/>
              <c:showCatName val="0"/>
              <c:showSerName val="0"/>
              <c:showPercent val="0"/>
              <c:showBubbleSize val="0"/>
            </c:dLbl>
            <c:txPr>
              <a:bodyPr/>
              <a:lstStyle/>
              <a:p>
                <a:pPr>
                  <a:defRPr baseline="0"/>
                </a:pPr>
                <a:endParaRPr lang="ru-RU"/>
              </a:p>
            </c:txPr>
            <c:showLegendKey val="0"/>
            <c:showVal val="1"/>
            <c:showCatName val="0"/>
            <c:showSerName val="0"/>
            <c:showPercent val="0"/>
            <c:showBubbleSize val="0"/>
            <c:showLeaderLines val="1"/>
          </c:dLbls>
          <c:cat>
            <c:strRef>
              <c:f>'Структура расходов'!$O$17:$O$21</c:f>
              <c:strCache>
                <c:ptCount val="5"/>
                <c:pt idx="0">
                  <c:v>Покупная электроэнергия  и мощность </c:v>
                </c:pt>
                <c:pt idx="1">
                  <c:v>Услуги распределительных сетевых компаний</c:v>
                </c:pt>
                <c:pt idx="2">
                  <c:v>Сырье и материалы</c:v>
                </c:pt>
                <c:pt idx="3">
                  <c:v>Расходы на персонал</c:v>
                </c:pt>
                <c:pt idx="4">
                  <c:v>Прочие затраты</c:v>
                </c:pt>
              </c:strCache>
            </c:strRef>
          </c:cat>
          <c:val>
            <c:numRef>
              <c:f>'Структура расходов'!$Q$17:$Q$21</c:f>
              <c:numCache>
                <c:formatCode>0.0%</c:formatCode>
                <c:ptCount val="5"/>
                <c:pt idx="0">
                  <c:v>0.37429153741475207</c:v>
                </c:pt>
                <c:pt idx="1">
                  <c:v>0.5222171771488896</c:v>
                </c:pt>
                <c:pt idx="2">
                  <c:v>2.6981097923200726E-3</c:v>
                </c:pt>
                <c:pt idx="3">
                  <c:v>7.5609342575447422E-2</c:v>
                </c:pt>
                <c:pt idx="4">
                  <c:v>2.5183833068591135E-2</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63513199321729807"/>
          <c:y val="0.17855057839117616"/>
          <c:w val="0.33843109437354019"/>
          <c:h val="0.60336543470818516"/>
        </c:manualLayout>
      </c:layout>
      <c:overlay val="0"/>
      <c:txPr>
        <a:bodyPr/>
        <a:lstStyle/>
        <a:p>
          <a:pPr rtl="0">
            <a:defRPr/>
          </a:pPr>
          <a:endParaRPr lang="ru-RU"/>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467899835246542"/>
          <c:y val="3.9037583602551336E-2"/>
          <c:w val="0.82869125750307882"/>
          <c:h val="0.71502650953487024"/>
        </c:manualLayout>
      </c:layout>
      <c:barChart>
        <c:barDir val="col"/>
        <c:grouping val="stacked"/>
        <c:varyColors val="0"/>
        <c:ser>
          <c:idx val="0"/>
          <c:order val="0"/>
          <c:tx>
            <c:strRef>
              <c:f>Лист1!$B$1</c:f>
              <c:strCache>
                <c:ptCount val="1"/>
                <c:pt idx="0">
                  <c:v>Продажа конечным потребителям</c:v>
                </c:pt>
              </c:strCache>
            </c:strRef>
          </c:tx>
          <c:invertIfNegative val="0"/>
          <c:dLbls>
            <c:numFmt formatCode="#,##0.0" sourceLinked="0"/>
            <c:dLblPos val="ctr"/>
            <c:showLegendKey val="0"/>
            <c:showVal val="1"/>
            <c:showCatName val="0"/>
            <c:showSerName val="0"/>
            <c:showPercent val="0"/>
            <c:showBubbleSize val="0"/>
            <c:showLeaderLines val="0"/>
          </c:dLbls>
          <c:cat>
            <c:numRef>
              <c:f>Лист1!$A$2:$A$6</c:f>
              <c:numCache>
                <c:formatCode>General</c:formatCode>
                <c:ptCount val="5"/>
                <c:pt idx="0">
                  <c:v>2010</c:v>
                </c:pt>
                <c:pt idx="1">
                  <c:v>2011</c:v>
                </c:pt>
                <c:pt idx="2">
                  <c:v>2012</c:v>
                </c:pt>
                <c:pt idx="3">
                  <c:v>2013</c:v>
                </c:pt>
                <c:pt idx="4">
                  <c:v>2014</c:v>
                </c:pt>
              </c:numCache>
            </c:numRef>
          </c:cat>
          <c:val>
            <c:numRef>
              <c:f>Лист1!$B$2:$B$6</c:f>
              <c:numCache>
                <c:formatCode>#,##0.0</c:formatCode>
                <c:ptCount val="5"/>
                <c:pt idx="0">
                  <c:v>2361.540440431017</c:v>
                </c:pt>
                <c:pt idx="1">
                  <c:v>2020.07262865949</c:v>
                </c:pt>
                <c:pt idx="2">
                  <c:v>2043.1720554067799</c:v>
                </c:pt>
                <c:pt idx="3">
                  <c:v>2567.5331759999999</c:v>
                </c:pt>
                <c:pt idx="4">
                  <c:v>3179.4380123389801</c:v>
                </c:pt>
              </c:numCache>
            </c:numRef>
          </c:val>
        </c:ser>
        <c:ser>
          <c:idx val="1"/>
          <c:order val="1"/>
          <c:tx>
            <c:strRef>
              <c:f>Лист1!$C$1</c:f>
              <c:strCache>
                <c:ptCount val="1"/>
                <c:pt idx="0">
                  <c:v>Продажа сетевым организациям (потери)</c:v>
                </c:pt>
              </c:strCache>
            </c:strRef>
          </c:tx>
          <c:spPr>
            <a:solidFill>
              <a:schemeClr val="tx2">
                <a:lumMod val="50000"/>
              </a:schemeClr>
            </a:solidFill>
          </c:spPr>
          <c:invertIfNegative val="0"/>
          <c:dLbls>
            <c:numFmt formatCode="#,##0.0" sourceLinked="0"/>
            <c:txPr>
              <a:bodyPr/>
              <a:lstStyle/>
              <a:p>
                <a:pPr>
                  <a:defRPr>
                    <a:solidFill>
                      <a:schemeClr val="bg1"/>
                    </a:solidFill>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dLbls>
          <c:cat>
            <c:numRef>
              <c:f>Лист1!$A$2:$A$6</c:f>
              <c:numCache>
                <c:formatCode>General</c:formatCode>
                <c:ptCount val="5"/>
                <c:pt idx="0">
                  <c:v>2010</c:v>
                </c:pt>
                <c:pt idx="1">
                  <c:v>2011</c:v>
                </c:pt>
                <c:pt idx="2">
                  <c:v>2012</c:v>
                </c:pt>
                <c:pt idx="3">
                  <c:v>2013</c:v>
                </c:pt>
                <c:pt idx="4">
                  <c:v>2014</c:v>
                </c:pt>
              </c:numCache>
            </c:numRef>
          </c:cat>
          <c:val>
            <c:numRef>
              <c:f>Лист1!$C$2:$C$6</c:f>
              <c:numCache>
                <c:formatCode>#,##0.0</c:formatCode>
                <c:ptCount val="5"/>
                <c:pt idx="0">
                  <c:v>164.94288370585065</c:v>
                </c:pt>
                <c:pt idx="1">
                  <c:v>188.59824108169528</c:v>
                </c:pt>
                <c:pt idx="2">
                  <c:v>188.86824275220303</c:v>
                </c:pt>
                <c:pt idx="3">
                  <c:v>333.44610488050802</c:v>
                </c:pt>
                <c:pt idx="4">
                  <c:v>466.41739553779701</c:v>
                </c:pt>
              </c:numCache>
            </c:numRef>
          </c:val>
        </c:ser>
        <c:ser>
          <c:idx val="2"/>
          <c:order val="2"/>
          <c:tx>
            <c:strRef>
              <c:f>Лист1!$D$1</c:f>
              <c:strCache>
                <c:ptCount val="1"/>
                <c:pt idx="0">
                  <c:v>Продажа на ОРЭ</c:v>
                </c:pt>
              </c:strCache>
            </c:strRef>
          </c:tx>
          <c:spPr>
            <a:solidFill>
              <a:schemeClr val="tx2">
                <a:lumMod val="20000"/>
                <a:lumOff val="80000"/>
              </a:schemeClr>
            </a:solidFill>
          </c:spPr>
          <c:invertIfNegative val="0"/>
          <c:dLbls>
            <c:dLbl>
              <c:idx val="0"/>
              <c:layout>
                <c:manualLayout>
                  <c:x val="-2.2359147056638363E-3"/>
                  <c:y val="-3.2583419070827561E-2"/>
                </c:manualLayout>
              </c:layout>
              <c:dLblPos val="ctr"/>
              <c:showLegendKey val="0"/>
              <c:showVal val="1"/>
              <c:showCatName val="0"/>
              <c:showSerName val="0"/>
              <c:showPercent val="0"/>
              <c:showBubbleSize val="0"/>
            </c:dLbl>
            <c:dLbl>
              <c:idx val="1"/>
              <c:layout>
                <c:manualLayout>
                  <c:x val="-1.5773385976862656E-4"/>
                  <c:y val="-2.7120985218418929E-2"/>
                </c:manualLayout>
              </c:layout>
              <c:tx>
                <c:rich>
                  <a:bodyPr/>
                  <a:lstStyle/>
                  <a:p>
                    <a:r>
                      <a:rPr lang="en-US" sz="900"/>
                      <a:t>78,8</a:t>
                    </a:r>
                  </a:p>
                </c:rich>
              </c:tx>
              <c:dLblPos val="ctr"/>
              <c:showLegendKey val="0"/>
              <c:showVal val="1"/>
              <c:showCatName val="0"/>
              <c:showSerName val="0"/>
              <c:showPercent val="0"/>
              <c:showBubbleSize val="0"/>
            </c:dLbl>
            <c:dLbl>
              <c:idx val="2"/>
              <c:layout>
                <c:manualLayout>
                  <c:x val="-1.6282771492819246E-4"/>
                  <c:y val="-2.5209104322968336E-2"/>
                </c:manualLayout>
              </c:layout>
              <c:tx>
                <c:rich>
                  <a:bodyPr/>
                  <a:lstStyle/>
                  <a:p>
                    <a:r>
                      <a:rPr lang="en-US" sz="900"/>
                      <a:t>75,9</a:t>
                    </a:r>
                  </a:p>
                </c:rich>
              </c:tx>
              <c:dLblPos val="ctr"/>
              <c:showLegendKey val="0"/>
              <c:showVal val="1"/>
              <c:showCatName val="0"/>
              <c:showSerName val="0"/>
              <c:showPercent val="0"/>
              <c:showBubbleSize val="0"/>
            </c:dLbl>
            <c:dLbl>
              <c:idx val="3"/>
              <c:layout>
                <c:manualLayout>
                  <c:x val="-2.2326412145568207E-3"/>
                  <c:y val="-4.1753506815138508E-2"/>
                </c:manualLayout>
              </c:layout>
              <c:dLblPos val="ctr"/>
              <c:showLegendKey val="0"/>
              <c:showVal val="1"/>
              <c:showCatName val="0"/>
              <c:showSerName val="0"/>
              <c:showPercent val="0"/>
              <c:showBubbleSize val="0"/>
            </c:dLbl>
            <c:dLbl>
              <c:idx val="4"/>
              <c:layout>
                <c:manualLayout>
                  <c:x val="0"/>
                  <c:y val="-3.5533039860046148E-2"/>
                </c:manualLayout>
              </c:layout>
              <c:dLblPos val="ctr"/>
              <c:showLegendKey val="0"/>
              <c:showVal val="1"/>
              <c:showCatName val="0"/>
              <c:showSerName val="0"/>
              <c:showPercent val="0"/>
              <c:showBubbleSize val="0"/>
            </c:dLbl>
            <c:numFmt formatCode="#,##0.0" sourceLinked="0"/>
            <c:txPr>
              <a:bodyPr/>
              <a:lstStyle/>
              <a:p>
                <a:pPr>
                  <a:defRPr>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dLbls>
          <c:cat>
            <c:numRef>
              <c:f>Лист1!$A$2:$A$6</c:f>
              <c:numCache>
                <c:formatCode>General</c:formatCode>
                <c:ptCount val="5"/>
                <c:pt idx="0">
                  <c:v>2010</c:v>
                </c:pt>
                <c:pt idx="1">
                  <c:v>2011</c:v>
                </c:pt>
                <c:pt idx="2">
                  <c:v>2012</c:v>
                </c:pt>
                <c:pt idx="3">
                  <c:v>2013</c:v>
                </c:pt>
                <c:pt idx="4">
                  <c:v>2014</c:v>
                </c:pt>
              </c:numCache>
            </c:numRef>
          </c:cat>
          <c:val>
            <c:numRef>
              <c:f>Лист1!$D$2:$D$6</c:f>
              <c:numCache>
                <c:formatCode>#,##0.0</c:formatCode>
                <c:ptCount val="5"/>
                <c:pt idx="0">
                  <c:v>87.997710909999995</c:v>
                </c:pt>
                <c:pt idx="1">
                  <c:v>78.779211099999998</c:v>
                </c:pt>
                <c:pt idx="2">
                  <c:v>75.882995630000011</c:v>
                </c:pt>
                <c:pt idx="3">
                  <c:v>76.517035680000006</c:v>
                </c:pt>
                <c:pt idx="4">
                  <c:v>65.137610350000003</c:v>
                </c:pt>
              </c:numCache>
            </c:numRef>
          </c:val>
        </c:ser>
        <c:ser>
          <c:idx val="3"/>
          <c:order val="3"/>
          <c:tx>
            <c:strRef>
              <c:f>Лист1!$E$1</c:f>
              <c:strCache>
                <c:ptCount val="1"/>
                <c:pt idx="0">
                  <c:v>Прочие</c:v>
                </c:pt>
              </c:strCache>
            </c:strRef>
          </c:tx>
          <c:invertIfNegative val="0"/>
          <c:cat>
            <c:numRef>
              <c:f>Лист1!$A$2:$A$6</c:f>
              <c:numCache>
                <c:formatCode>General</c:formatCode>
                <c:ptCount val="5"/>
                <c:pt idx="0">
                  <c:v>2010</c:v>
                </c:pt>
                <c:pt idx="1">
                  <c:v>2011</c:v>
                </c:pt>
                <c:pt idx="2">
                  <c:v>2012</c:v>
                </c:pt>
                <c:pt idx="3">
                  <c:v>2013</c:v>
                </c:pt>
                <c:pt idx="4">
                  <c:v>2014</c:v>
                </c:pt>
              </c:numCache>
            </c:numRef>
          </c:cat>
          <c:val>
            <c:numRef>
              <c:f>Лист1!$E$2:$E$6</c:f>
              <c:numCache>
                <c:formatCode>#,##0.0</c:formatCode>
                <c:ptCount val="5"/>
                <c:pt idx="0">
                  <c:v>0</c:v>
                </c:pt>
                <c:pt idx="1">
                  <c:v>0</c:v>
                </c:pt>
                <c:pt idx="2">
                  <c:v>0.68703150000000002</c:v>
                </c:pt>
                <c:pt idx="3">
                  <c:v>1.9368531864406799</c:v>
                </c:pt>
                <c:pt idx="4">
                  <c:v>2.77698</c:v>
                </c:pt>
              </c:numCache>
            </c:numRef>
          </c:val>
        </c:ser>
        <c:dLbls>
          <c:showLegendKey val="0"/>
          <c:showVal val="0"/>
          <c:showCatName val="0"/>
          <c:showSerName val="0"/>
          <c:showPercent val="0"/>
          <c:showBubbleSize val="0"/>
        </c:dLbls>
        <c:gapWidth val="82"/>
        <c:overlap val="100"/>
        <c:axId val="119841792"/>
        <c:axId val="81855616"/>
      </c:barChart>
      <c:catAx>
        <c:axId val="119841792"/>
        <c:scaling>
          <c:orientation val="minMax"/>
        </c:scaling>
        <c:delete val="0"/>
        <c:axPos val="b"/>
        <c:numFmt formatCode="General"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81855616"/>
        <c:crosses val="autoZero"/>
        <c:auto val="1"/>
        <c:lblAlgn val="ctr"/>
        <c:lblOffset val="100"/>
        <c:noMultiLvlLbl val="0"/>
      </c:catAx>
      <c:valAx>
        <c:axId val="81855616"/>
        <c:scaling>
          <c:orientation val="minMax"/>
          <c:max val="4000"/>
        </c:scaling>
        <c:delete val="0"/>
        <c:axPos val="l"/>
        <c:majorGridlines/>
        <c:title>
          <c:tx>
            <c:rich>
              <a:bodyPr/>
              <a:lstStyle/>
              <a:p>
                <a:pPr>
                  <a:defRPr sz="1199" b="0" i="0" u="none" strike="noStrike" baseline="0">
                    <a:solidFill>
                      <a:srgbClr val="000000"/>
                    </a:solidFill>
                    <a:latin typeface="Times New Roman"/>
                    <a:ea typeface="Times New Roman"/>
                    <a:cs typeface="Times New Roman"/>
                  </a:defRPr>
                </a:pPr>
                <a:r>
                  <a:rPr lang="ru-RU"/>
                  <a:t>млн. руб.</a:t>
                </a:r>
              </a:p>
            </c:rich>
          </c:tx>
          <c:layout>
            <c:manualLayout>
              <c:xMode val="edge"/>
              <c:yMode val="edge"/>
              <c:x val="7.1811594432537188E-3"/>
              <c:y val="0.26422361244568632"/>
            </c:manualLayout>
          </c:layout>
          <c:overlay val="0"/>
        </c:title>
        <c:numFmt formatCode="#,##0.0" sourceLinked="1"/>
        <c:majorTickMark val="out"/>
        <c:minorTickMark val="none"/>
        <c:tickLblPos val="nextTo"/>
        <c:crossAx val="119841792"/>
        <c:crosses val="autoZero"/>
        <c:crossBetween val="between"/>
      </c:valAx>
    </c:plotArea>
    <c:legend>
      <c:legendPos val="b"/>
      <c:layout>
        <c:manualLayout>
          <c:xMode val="edge"/>
          <c:yMode val="edge"/>
          <c:x val="1.8235204846758855E-2"/>
          <c:y val="0.8353551978667334"/>
          <c:w val="0.96800141971780995"/>
          <c:h val="0.14393189203735393"/>
        </c:manualLayout>
      </c:layout>
      <c:overlay val="0"/>
      <c:txPr>
        <a:bodyPr/>
        <a:lstStyle/>
        <a:p>
          <a:pPr>
            <a:defRPr sz="1099">
              <a:latin typeface="Times New Roman" pitchFamily="18" charset="0"/>
              <a:cs typeface="Times New Roman" pitchFamily="18" charset="0"/>
            </a:defRPr>
          </a:pPr>
          <a:endParaRPr lang="ru-RU"/>
        </a:p>
      </c:txPr>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7.483376397545953E-2"/>
          <c:y val="7.3310039370078739E-2"/>
          <c:w val="0.86295783789079239"/>
          <c:h val="0.62880118110236216"/>
        </c:manualLayout>
      </c:layout>
      <c:pie3DChart>
        <c:varyColors val="1"/>
        <c:ser>
          <c:idx val="0"/>
          <c:order val="0"/>
          <c:tx>
            <c:strRef>
              <c:f>Лист1!$B$1</c:f>
              <c:strCache>
                <c:ptCount val="1"/>
                <c:pt idx="0">
                  <c:v>Продажи</c:v>
                </c:pt>
              </c:strCache>
            </c:strRef>
          </c:tx>
          <c:explosion val="20"/>
          <c:dLbls>
            <c:dLbl>
              <c:idx val="0"/>
              <c:layout>
                <c:manualLayout>
                  <c:x val="-7.6904432438149387E-2"/>
                  <c:y val="6.7125004087379023E-2"/>
                </c:manualLayout>
              </c:layout>
              <c:dLblPos val="bestFit"/>
              <c:showLegendKey val="0"/>
              <c:showVal val="1"/>
              <c:showCatName val="0"/>
              <c:showSerName val="0"/>
              <c:showPercent val="0"/>
              <c:showBubbleSize val="0"/>
            </c:dLbl>
            <c:dLbl>
              <c:idx val="1"/>
              <c:layout>
                <c:manualLayout>
                  <c:x val="-6.714675650370483E-2"/>
                  <c:y val="-0.12525094710410545"/>
                </c:manualLayout>
              </c:layout>
              <c:dLblPos val="bestFit"/>
              <c:showLegendKey val="0"/>
              <c:showVal val="1"/>
              <c:showCatName val="0"/>
              <c:showSerName val="0"/>
              <c:showPercent val="0"/>
              <c:showBubbleSize val="0"/>
            </c:dLbl>
            <c:dLbl>
              <c:idx val="4"/>
              <c:layout>
                <c:manualLayout>
                  <c:x val="0.10320137801396588"/>
                  <c:y val="-0.14781326044201476"/>
                </c:manualLayout>
              </c:layout>
              <c:dLblPos val="bestFit"/>
              <c:showLegendKey val="0"/>
              <c:showVal val="1"/>
              <c:showCatName val="0"/>
              <c:showSerName val="0"/>
              <c:showPercent val="0"/>
              <c:showBubbleSize val="0"/>
            </c:dLbl>
            <c:txPr>
              <a:bodyPr/>
              <a:lstStyle/>
              <a:p>
                <a:pPr>
                  <a:defRPr sz="1100" b="1">
                    <a:latin typeface="Times New Roman" pitchFamily="18" charset="0"/>
                    <a:cs typeface="Times New Roman" pitchFamily="18" charset="0"/>
                  </a:defRPr>
                </a:pPr>
                <a:endParaRPr lang="ru-RU"/>
              </a:p>
            </c:txPr>
            <c:dLblPos val="inEnd"/>
            <c:showLegendKey val="0"/>
            <c:showVal val="1"/>
            <c:showCatName val="0"/>
            <c:showSerName val="0"/>
            <c:showPercent val="0"/>
            <c:showBubbleSize val="0"/>
            <c:showLeaderLines val="1"/>
          </c:dLbls>
          <c:cat>
            <c:strRef>
              <c:f>Лист1!$A$2:$A$7</c:f>
              <c:strCache>
                <c:ptCount val="6"/>
                <c:pt idx="0">
                  <c:v>прочие до 150 кВт</c:v>
                </c:pt>
                <c:pt idx="1">
                  <c:v>прочие от 150 до 670 кВт</c:v>
                </c:pt>
                <c:pt idx="2">
                  <c:v>прочие от 670кВт до 10 МВт</c:v>
                </c:pt>
                <c:pt idx="3">
                  <c:v>прочие не менее 10 МВт</c:v>
                </c:pt>
                <c:pt idx="4">
                  <c:v>население</c:v>
                </c:pt>
                <c:pt idx="5">
                  <c:v>потери</c:v>
                </c:pt>
              </c:strCache>
            </c:strRef>
          </c:cat>
          <c:val>
            <c:numRef>
              <c:f>Лист1!$B$2:$B$7</c:f>
              <c:numCache>
                <c:formatCode>0%</c:formatCode>
                <c:ptCount val="6"/>
                <c:pt idx="0">
                  <c:v>0.26778708256367051</c:v>
                </c:pt>
                <c:pt idx="1">
                  <c:v>9.1958379406413535E-2</c:v>
                </c:pt>
                <c:pt idx="2">
                  <c:v>9.0841668650019969E-2</c:v>
                </c:pt>
                <c:pt idx="3">
                  <c:v>8.8505519180349795E-2</c:v>
                </c:pt>
                <c:pt idx="4">
                  <c:v>0.23607973220357814</c:v>
                </c:pt>
                <c:pt idx="5">
                  <c:v>0.22482761799596807</c:v>
                </c:pt>
              </c:numCache>
            </c:numRef>
          </c:val>
        </c:ser>
        <c:dLbls>
          <c:showLegendKey val="0"/>
          <c:showVal val="0"/>
          <c:showCatName val="0"/>
          <c:showSerName val="0"/>
          <c:showPercent val="0"/>
          <c:showBubbleSize val="0"/>
          <c:showLeaderLines val="1"/>
        </c:dLbls>
      </c:pie3DChart>
      <c:spPr>
        <a:noFill/>
        <a:ln w="25396">
          <a:noFill/>
        </a:ln>
      </c:spPr>
    </c:plotArea>
    <c:legend>
      <c:legendPos val="b"/>
      <c:layout>
        <c:manualLayout>
          <c:xMode val="edge"/>
          <c:yMode val="edge"/>
          <c:x val="0"/>
          <c:y val="0.75713194941541395"/>
          <c:w val="0.99776869678363789"/>
          <c:h val="0.24286805058458602"/>
        </c:manualLayout>
      </c:layout>
      <c:overlay val="0"/>
      <c:txPr>
        <a:bodyPr/>
        <a:lstStyle/>
        <a:p>
          <a:pPr>
            <a:lnSpc>
              <a:spcPct val="70000"/>
            </a:lnSpc>
            <a:defRPr sz="1100" baseline="0">
              <a:latin typeface="Times New Roman" pitchFamily="18" charset="0"/>
              <a:cs typeface="Times New Roman" pitchFamily="18" charset="0"/>
            </a:defRPr>
          </a:pPr>
          <a:endParaRPr lang="ru-RU"/>
        </a:p>
      </c:txPr>
    </c:legend>
    <c:plotVisOnly val="1"/>
    <c:dispBlanksAs val="zero"/>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perspective val="30"/>
    </c:view3D>
    <c:floor>
      <c:thickness val="0"/>
    </c:floor>
    <c:sideWall>
      <c:thickness val="0"/>
    </c:sideWall>
    <c:backWall>
      <c:thickness val="0"/>
    </c:backWall>
    <c:plotArea>
      <c:layout>
        <c:manualLayout>
          <c:layoutTarget val="inner"/>
          <c:xMode val="edge"/>
          <c:yMode val="edge"/>
          <c:x val="5.6217061615317131E-3"/>
          <c:y val="0"/>
          <c:w val="0.98725033380336169"/>
          <c:h val="0.70408190711698226"/>
        </c:manualLayout>
      </c:layout>
      <c:pie3DChart>
        <c:varyColors val="1"/>
        <c:ser>
          <c:idx val="0"/>
          <c:order val="0"/>
          <c:tx>
            <c:strRef>
              <c:f>Лист1!$B$1</c:f>
              <c:strCache>
                <c:ptCount val="1"/>
                <c:pt idx="0">
                  <c:v>Продажи</c:v>
                </c:pt>
              </c:strCache>
            </c:strRef>
          </c:tx>
          <c:explosion val="25"/>
          <c:dLbls>
            <c:dLbl>
              <c:idx val="0"/>
              <c:layout>
                <c:manualLayout>
                  <c:x val="-8.7984394357075127E-2"/>
                  <c:y val="5.3376616903563323E-2"/>
                </c:manualLayout>
              </c:layout>
              <c:dLblPos val="bestFit"/>
              <c:showLegendKey val="0"/>
              <c:showVal val="1"/>
              <c:showCatName val="0"/>
              <c:showSerName val="0"/>
              <c:showPercent val="0"/>
              <c:showBubbleSize val="0"/>
            </c:dLbl>
            <c:dLbl>
              <c:idx val="1"/>
              <c:layout>
                <c:manualLayout>
                  <c:x val="-6.51576910113911E-2"/>
                  <c:y val="-0.15132889577853692"/>
                </c:manualLayout>
              </c:layout>
              <c:dLblPos val="bestFit"/>
              <c:showLegendKey val="0"/>
              <c:showVal val="1"/>
              <c:showCatName val="0"/>
              <c:showSerName val="0"/>
              <c:showPercent val="0"/>
              <c:showBubbleSize val="0"/>
            </c:dLbl>
            <c:dLbl>
              <c:idx val="3"/>
              <c:layout>
                <c:manualLayout>
                  <c:x val="2.399543118446177E-2"/>
                  <c:y val="-0.21170077604974047"/>
                </c:manualLayout>
              </c:layout>
              <c:dLblPos val="bestFit"/>
              <c:showLegendKey val="0"/>
              <c:showVal val="1"/>
              <c:showCatName val="0"/>
              <c:showSerName val="0"/>
              <c:showPercent val="0"/>
              <c:showBubbleSize val="0"/>
            </c:dLbl>
            <c:dLbl>
              <c:idx val="4"/>
              <c:layout>
                <c:manualLayout>
                  <c:x val="0.11587779849101325"/>
                  <c:y val="-0.20394550213399612"/>
                </c:manualLayout>
              </c:layout>
              <c:dLblPos val="bestFit"/>
              <c:showLegendKey val="0"/>
              <c:showVal val="1"/>
              <c:showCatName val="0"/>
              <c:showSerName val="0"/>
              <c:showPercent val="0"/>
              <c:showBubbleSize val="0"/>
            </c:dLbl>
            <c:txPr>
              <a:bodyPr/>
              <a:lstStyle/>
              <a:p>
                <a:pPr>
                  <a:defRPr sz="1100" b="1">
                    <a:latin typeface="Times New Roman" pitchFamily="18" charset="0"/>
                    <a:cs typeface="Times New Roman" pitchFamily="18" charset="0"/>
                  </a:defRPr>
                </a:pPr>
                <a:endParaRPr lang="ru-RU"/>
              </a:p>
            </c:txPr>
            <c:dLblPos val="inEnd"/>
            <c:showLegendKey val="0"/>
            <c:showVal val="1"/>
            <c:showCatName val="0"/>
            <c:showSerName val="0"/>
            <c:showPercent val="0"/>
            <c:showBubbleSize val="0"/>
            <c:showLeaderLines val="1"/>
          </c:dLbls>
          <c:cat>
            <c:strRef>
              <c:f>Лист1!$A$2:$A$8</c:f>
              <c:strCache>
                <c:ptCount val="7"/>
                <c:pt idx="0">
                  <c:v>прочие до 150 кВт</c:v>
                </c:pt>
                <c:pt idx="1">
                  <c:v>прочие от 150 до 670 кВт</c:v>
                </c:pt>
                <c:pt idx="2">
                  <c:v>прочие от 670кВт до 10 МВт</c:v>
                </c:pt>
                <c:pt idx="3">
                  <c:v>прочие не менее 10 МВт</c:v>
                </c:pt>
                <c:pt idx="4">
                  <c:v>население</c:v>
                </c:pt>
                <c:pt idx="5">
                  <c:v>потери нормативные</c:v>
                </c:pt>
                <c:pt idx="6">
                  <c:v>потери сверхнормативные</c:v>
                </c:pt>
              </c:strCache>
            </c:strRef>
          </c:cat>
          <c:val>
            <c:numRef>
              <c:f>Лист1!$B$2:$B$8</c:f>
              <c:numCache>
                <c:formatCode>0%</c:formatCode>
                <c:ptCount val="7"/>
                <c:pt idx="0">
                  <c:v>0.31230362541040918</c:v>
                </c:pt>
                <c:pt idx="1">
                  <c:v>8.7954268966165663E-2</c:v>
                </c:pt>
                <c:pt idx="2">
                  <c:v>0.10422892938615853</c:v>
                </c:pt>
                <c:pt idx="3">
                  <c:v>2.5104133589737454E-2</c:v>
                </c:pt>
                <c:pt idx="4">
                  <c:v>0.20454019085200334</c:v>
                </c:pt>
                <c:pt idx="5">
                  <c:v>0.19198648372072113</c:v>
                </c:pt>
                <c:pt idx="6">
                  <c:v>7.3882368074804472E-2</c:v>
                </c:pt>
              </c:numCache>
            </c:numRef>
          </c:val>
        </c:ser>
        <c:dLbls>
          <c:showLegendKey val="0"/>
          <c:showVal val="0"/>
          <c:showCatName val="0"/>
          <c:showSerName val="0"/>
          <c:showPercent val="0"/>
          <c:showBubbleSize val="0"/>
          <c:showLeaderLines val="1"/>
        </c:dLbls>
      </c:pie3DChart>
      <c:spPr>
        <a:noFill/>
        <a:ln w="25396">
          <a:noFill/>
        </a:ln>
      </c:spPr>
    </c:plotArea>
    <c:legend>
      <c:legendPos val="b"/>
      <c:layout>
        <c:manualLayout>
          <c:xMode val="edge"/>
          <c:yMode val="edge"/>
          <c:x val="0"/>
          <c:y val="0.72110713433548079"/>
          <c:w val="0.99270041489512018"/>
          <c:h val="0.27889286566451921"/>
        </c:manualLayout>
      </c:layout>
      <c:overlay val="0"/>
      <c:txPr>
        <a:bodyPr/>
        <a:lstStyle/>
        <a:p>
          <a:pPr>
            <a:lnSpc>
              <a:spcPct val="70000"/>
            </a:lnSpc>
            <a:defRPr sz="1100" baseline="0">
              <a:latin typeface="Times New Roman" pitchFamily="18" charset="0"/>
              <a:cs typeface="Times New Roman" pitchFamily="18" charset="0"/>
            </a:defRPr>
          </a:pPr>
          <a:endParaRPr lang="ru-RU"/>
        </a:p>
      </c:txPr>
    </c:legend>
    <c:plotVisOnly val="1"/>
    <c:dispBlanksAs val="zero"/>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55858570563295"/>
          <c:y val="5.4917325837756263E-2"/>
          <c:w val="0.82748839087421755"/>
          <c:h val="0.76855892605327203"/>
        </c:manualLayout>
      </c:layout>
      <c:barChart>
        <c:barDir val="col"/>
        <c:grouping val="stacked"/>
        <c:varyColors val="0"/>
        <c:ser>
          <c:idx val="0"/>
          <c:order val="0"/>
          <c:tx>
            <c:strRef>
              <c:f>Лист1!$B$1</c:f>
              <c:strCache>
                <c:ptCount val="1"/>
                <c:pt idx="0">
                  <c:v>НВВ собственная</c:v>
                </c:pt>
              </c:strCache>
            </c:strRef>
          </c:tx>
          <c:spPr>
            <a:solidFill>
              <a:schemeClr val="tx2"/>
            </a:solidFill>
          </c:spPr>
          <c:invertIfNegative val="0"/>
          <c:dLbls>
            <c:dLbl>
              <c:idx val="0"/>
              <c:layout>
                <c:manualLayout>
                  <c:x val="-2.136752136752137E-3"/>
                  <c:y val="-3.8906989318959191E-3"/>
                </c:manualLayout>
              </c:layout>
              <c:dLblPos val="ctr"/>
              <c:showLegendKey val="0"/>
              <c:showVal val="1"/>
              <c:showCatName val="0"/>
              <c:showSerName val="0"/>
              <c:showPercent val="0"/>
              <c:showBubbleSize val="0"/>
            </c:dLbl>
            <c:dLbl>
              <c:idx val="4"/>
              <c:tx>
                <c:rich>
                  <a:bodyPr/>
                  <a:lstStyle/>
                  <a:p>
                    <a:r>
                      <a:rPr lang="ru-RU">
                        <a:solidFill>
                          <a:schemeClr val="bg1"/>
                        </a:solidFill>
                      </a:rPr>
                      <a:t>386,5</a:t>
                    </a:r>
                    <a:endParaRPr lang="en-US">
                      <a:solidFill>
                        <a:schemeClr val="bg1"/>
                      </a:solidFill>
                    </a:endParaRPr>
                  </a:p>
                </c:rich>
              </c:tx>
              <c:dLblPos val="ctr"/>
              <c:showLegendKey val="0"/>
              <c:showVal val="1"/>
              <c:showCatName val="0"/>
              <c:showSerName val="0"/>
              <c:showPercent val="0"/>
              <c:showBubbleSize val="0"/>
            </c:dLbl>
            <c:numFmt formatCode="#,##0.0" sourceLinked="0"/>
            <c:txPr>
              <a:bodyPr/>
              <a:lstStyle/>
              <a:p>
                <a:pPr>
                  <a:defRPr sz="900">
                    <a:solidFill>
                      <a:schemeClr val="bg1"/>
                    </a:solidFill>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dLbls>
          <c:cat>
            <c:numRef>
              <c:f>Лист1!$A$2:$A$7</c:f>
              <c:numCache>
                <c:formatCode>General</c:formatCode>
                <c:ptCount val="6"/>
                <c:pt idx="0">
                  <c:v>2010</c:v>
                </c:pt>
                <c:pt idx="1">
                  <c:v>2011</c:v>
                </c:pt>
                <c:pt idx="2">
                  <c:v>2012</c:v>
                </c:pt>
                <c:pt idx="3">
                  <c:v>2013</c:v>
                </c:pt>
                <c:pt idx="4">
                  <c:v>2014</c:v>
                </c:pt>
                <c:pt idx="5">
                  <c:v>2015</c:v>
                </c:pt>
              </c:numCache>
            </c:numRef>
          </c:cat>
          <c:val>
            <c:numRef>
              <c:f>Лист1!$B$2:$B$7</c:f>
              <c:numCache>
                <c:formatCode>#,##0.0</c:formatCode>
                <c:ptCount val="6"/>
                <c:pt idx="0">
                  <c:v>163.54563850400001</c:v>
                </c:pt>
                <c:pt idx="1">
                  <c:v>169.76465999999996</c:v>
                </c:pt>
                <c:pt idx="2">
                  <c:v>173.05001999999996</c:v>
                </c:pt>
                <c:pt idx="3">
                  <c:v>283.5</c:v>
                </c:pt>
                <c:pt idx="4">
                  <c:v>386.5</c:v>
                </c:pt>
                <c:pt idx="5">
                  <c:v>354.6</c:v>
                </c:pt>
              </c:numCache>
            </c:numRef>
          </c:val>
        </c:ser>
        <c:ser>
          <c:idx val="1"/>
          <c:order val="1"/>
          <c:tx>
            <c:strRef>
              <c:f>Лист1!$C$1</c:f>
              <c:strCache>
                <c:ptCount val="1"/>
                <c:pt idx="0">
                  <c:v>Услуги на передачу э/э</c:v>
                </c:pt>
              </c:strCache>
            </c:strRef>
          </c:tx>
          <c:spPr>
            <a:solidFill>
              <a:schemeClr val="tx2">
                <a:lumMod val="60000"/>
                <a:lumOff val="40000"/>
              </a:schemeClr>
            </a:solidFill>
          </c:spPr>
          <c:invertIfNegative val="0"/>
          <c:dLbls>
            <c:numFmt formatCode="#,##0.0" sourceLinked="0"/>
            <c:txPr>
              <a:bodyPr/>
              <a:lstStyle/>
              <a:p>
                <a:pPr>
                  <a:defRPr sz="90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dLbls>
          <c:cat>
            <c:numRef>
              <c:f>Лист1!$A$2:$A$7</c:f>
              <c:numCache>
                <c:formatCode>General</c:formatCode>
                <c:ptCount val="6"/>
                <c:pt idx="0">
                  <c:v>2010</c:v>
                </c:pt>
                <c:pt idx="1">
                  <c:v>2011</c:v>
                </c:pt>
                <c:pt idx="2">
                  <c:v>2012</c:v>
                </c:pt>
                <c:pt idx="3">
                  <c:v>2013</c:v>
                </c:pt>
                <c:pt idx="4">
                  <c:v>2014</c:v>
                </c:pt>
                <c:pt idx="5">
                  <c:v>2015</c:v>
                </c:pt>
              </c:numCache>
            </c:numRef>
          </c:cat>
          <c:val>
            <c:numRef>
              <c:f>Лист1!$C$2:$C$7</c:f>
              <c:numCache>
                <c:formatCode>#,##0.0</c:formatCode>
                <c:ptCount val="6"/>
                <c:pt idx="0">
                  <c:v>1453.2564522447501</c:v>
                </c:pt>
                <c:pt idx="1">
                  <c:v>958.42700779999996</c:v>
                </c:pt>
                <c:pt idx="2">
                  <c:v>972.62598442000001</c:v>
                </c:pt>
                <c:pt idx="3">
                  <c:v>1422.59997243</c:v>
                </c:pt>
                <c:pt idx="4">
                  <c:v>1892.7</c:v>
                </c:pt>
                <c:pt idx="5">
                  <c:v>2048.3000000000002</c:v>
                </c:pt>
              </c:numCache>
            </c:numRef>
          </c:val>
        </c:ser>
        <c:ser>
          <c:idx val="2"/>
          <c:order val="2"/>
          <c:tx>
            <c:strRef>
              <c:f>Лист1!$D$1</c:f>
              <c:strCache>
                <c:ptCount val="1"/>
                <c:pt idx="0">
                  <c:v>Покупная э/э (сальдо)</c:v>
                </c:pt>
              </c:strCache>
            </c:strRef>
          </c:tx>
          <c:spPr>
            <a:solidFill>
              <a:schemeClr val="accent1">
                <a:lumMod val="60000"/>
                <a:lumOff val="40000"/>
              </a:schemeClr>
            </a:solidFill>
          </c:spPr>
          <c:invertIfNegative val="0"/>
          <c:dLbls>
            <c:dLbl>
              <c:idx val="5"/>
              <c:layout>
                <c:manualLayout>
                  <c:x val="0"/>
                  <c:y val="6.4066327491991704E-2"/>
                </c:manualLayout>
              </c:layout>
              <c:dLblPos val="ctr"/>
              <c:showLegendKey val="0"/>
              <c:showVal val="1"/>
              <c:showCatName val="0"/>
              <c:showSerName val="0"/>
              <c:showPercent val="0"/>
              <c:showBubbleSize val="0"/>
            </c:dLbl>
            <c:numFmt formatCode="#,##0.0" sourceLinked="0"/>
            <c:txPr>
              <a:bodyPr/>
              <a:lstStyle/>
              <a:p>
                <a:pPr>
                  <a:defRPr sz="90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dLbls>
          <c:cat>
            <c:numRef>
              <c:f>Лист1!$A$2:$A$7</c:f>
              <c:numCache>
                <c:formatCode>General</c:formatCode>
                <c:ptCount val="6"/>
                <c:pt idx="0">
                  <c:v>2010</c:v>
                </c:pt>
                <c:pt idx="1">
                  <c:v>2011</c:v>
                </c:pt>
                <c:pt idx="2">
                  <c:v>2012</c:v>
                </c:pt>
                <c:pt idx="3">
                  <c:v>2013</c:v>
                </c:pt>
                <c:pt idx="4">
                  <c:v>2014</c:v>
                </c:pt>
                <c:pt idx="5">
                  <c:v>2015</c:v>
                </c:pt>
              </c:numCache>
            </c:numRef>
          </c:cat>
          <c:val>
            <c:numRef>
              <c:f>Лист1!$D$2:$D$7</c:f>
              <c:numCache>
                <c:formatCode>#,##0.0</c:formatCode>
                <c:ptCount val="6"/>
                <c:pt idx="0">
                  <c:v>935.31542935999994</c:v>
                </c:pt>
                <c:pt idx="1">
                  <c:v>947.22688769000001</c:v>
                </c:pt>
                <c:pt idx="2">
                  <c:v>975.99035806999984</c:v>
                </c:pt>
                <c:pt idx="3">
                  <c:v>1100.8746866633801</c:v>
                </c:pt>
                <c:pt idx="4">
                  <c:v>1356.5</c:v>
                </c:pt>
                <c:pt idx="5">
                  <c:v>1535.5</c:v>
                </c:pt>
              </c:numCache>
            </c:numRef>
          </c:val>
        </c:ser>
        <c:ser>
          <c:idx val="3"/>
          <c:order val="3"/>
          <c:tx>
            <c:strRef>
              <c:f>Лист1!$E$1</c:f>
              <c:strCache>
                <c:ptCount val="1"/>
                <c:pt idx="0">
                  <c:v>Операторы оптового рынка</c:v>
                </c:pt>
              </c:strCache>
            </c:strRef>
          </c:tx>
          <c:spPr>
            <a:solidFill>
              <a:schemeClr val="accent1">
                <a:lumMod val="20000"/>
                <a:lumOff val="80000"/>
              </a:schemeClr>
            </a:solidFill>
          </c:spPr>
          <c:invertIfNegative val="0"/>
          <c:cat>
            <c:numRef>
              <c:f>Лист1!$A$2:$A$7</c:f>
              <c:numCache>
                <c:formatCode>General</c:formatCode>
                <c:ptCount val="6"/>
                <c:pt idx="0">
                  <c:v>2010</c:v>
                </c:pt>
                <c:pt idx="1">
                  <c:v>2011</c:v>
                </c:pt>
                <c:pt idx="2">
                  <c:v>2012</c:v>
                </c:pt>
                <c:pt idx="3">
                  <c:v>2013</c:v>
                </c:pt>
                <c:pt idx="4">
                  <c:v>2014</c:v>
                </c:pt>
                <c:pt idx="5">
                  <c:v>2015</c:v>
                </c:pt>
              </c:numCache>
            </c:numRef>
          </c:cat>
          <c:val>
            <c:numRef>
              <c:f>Лист1!$E$2:$E$7</c:f>
              <c:numCache>
                <c:formatCode>#,##0.0</c:formatCode>
                <c:ptCount val="6"/>
                <c:pt idx="0">
                  <c:v>1.19866918</c:v>
                </c:pt>
                <c:pt idx="1">
                  <c:v>4.4981756013559302</c:v>
                </c:pt>
                <c:pt idx="2">
                  <c:v>3.6585358499999998</c:v>
                </c:pt>
                <c:pt idx="3">
                  <c:v>3.9599521200000001</c:v>
                </c:pt>
                <c:pt idx="4">
                  <c:v>4.4059999999999997</c:v>
                </c:pt>
                <c:pt idx="5">
                  <c:v>4.5999999999999996</c:v>
                </c:pt>
              </c:numCache>
            </c:numRef>
          </c:val>
        </c:ser>
        <c:dLbls>
          <c:showLegendKey val="0"/>
          <c:showVal val="0"/>
          <c:showCatName val="0"/>
          <c:showSerName val="0"/>
          <c:showPercent val="0"/>
          <c:showBubbleSize val="0"/>
        </c:dLbls>
        <c:gapWidth val="86"/>
        <c:overlap val="100"/>
        <c:serLines/>
        <c:axId val="133187072"/>
        <c:axId val="81858496"/>
      </c:barChart>
      <c:catAx>
        <c:axId val="133187072"/>
        <c:scaling>
          <c:orientation val="minMax"/>
        </c:scaling>
        <c:delete val="0"/>
        <c:axPos val="b"/>
        <c:numFmt formatCode="General" sourceLinked="1"/>
        <c:majorTickMark val="out"/>
        <c:minorTickMark val="none"/>
        <c:tickLblPos val="nextTo"/>
        <c:txPr>
          <a:bodyPr/>
          <a:lstStyle/>
          <a:p>
            <a:pPr>
              <a:defRPr sz="1051" b="1" i="0">
                <a:solidFill>
                  <a:schemeClr val="tx1"/>
                </a:solidFill>
                <a:latin typeface="Times New Roman" pitchFamily="18" charset="0"/>
                <a:cs typeface="Times New Roman" pitchFamily="18" charset="0"/>
              </a:defRPr>
            </a:pPr>
            <a:endParaRPr lang="ru-RU"/>
          </a:p>
        </c:txPr>
        <c:crossAx val="81858496"/>
        <c:crosses val="autoZero"/>
        <c:auto val="1"/>
        <c:lblAlgn val="ctr"/>
        <c:lblOffset val="100"/>
        <c:noMultiLvlLbl val="0"/>
      </c:catAx>
      <c:valAx>
        <c:axId val="81858496"/>
        <c:scaling>
          <c:orientation val="minMax"/>
          <c:max val="4000"/>
          <c:min val="0"/>
        </c:scaling>
        <c:delete val="0"/>
        <c:axPos val="l"/>
        <c:majorGridlines/>
        <c:title>
          <c:tx>
            <c:rich>
              <a:bodyPr/>
              <a:lstStyle/>
              <a:p>
                <a:pPr>
                  <a:defRPr sz="1001" b="1" i="0" u="none" strike="noStrike" baseline="0">
                    <a:solidFill>
                      <a:srgbClr val="000000"/>
                    </a:solidFill>
                    <a:latin typeface="Times New Roman"/>
                    <a:ea typeface="Times New Roman"/>
                    <a:cs typeface="Times New Roman"/>
                  </a:defRPr>
                </a:pPr>
                <a:r>
                  <a:rPr lang="ru-RU"/>
                  <a:t>млн. руб.</a:t>
                </a:r>
              </a:p>
            </c:rich>
          </c:tx>
          <c:layout>
            <c:manualLayout>
              <c:xMode val="edge"/>
              <c:yMode val="edge"/>
              <c:x val="1.3888939754623698E-2"/>
              <c:y val="0.48500765198912077"/>
            </c:manualLayout>
          </c:layout>
          <c:overlay val="0"/>
        </c:title>
        <c:numFmt formatCode="#,##0.0" sourceLinked="1"/>
        <c:majorTickMark val="out"/>
        <c:minorTickMark val="none"/>
        <c:tickLblPos val="nextTo"/>
        <c:crossAx val="133187072"/>
        <c:crosses val="autoZero"/>
        <c:crossBetween val="between"/>
        <c:majorUnit val="250"/>
      </c:valAx>
    </c:plotArea>
    <c:legend>
      <c:legendPos val="b"/>
      <c:layout>
        <c:manualLayout>
          <c:xMode val="edge"/>
          <c:yMode val="edge"/>
          <c:x val="0"/>
          <c:y val="0.89288934982618406"/>
          <c:w val="0.97765312968165974"/>
          <c:h val="8.4509190122239258E-2"/>
        </c:manualLayout>
      </c:layout>
      <c:overlay val="0"/>
      <c:txPr>
        <a:bodyPr/>
        <a:lstStyle/>
        <a:p>
          <a:pPr>
            <a:defRPr>
              <a:latin typeface="Times New Roman" pitchFamily="18" charset="0"/>
              <a:cs typeface="Times New Roman" pitchFamily="18" charset="0"/>
            </a:defRPr>
          </a:pPr>
          <a:endParaRPr lang="ru-RU"/>
        </a:p>
      </c:txPr>
    </c:legend>
    <c:plotVisOnly val="1"/>
    <c:dispBlanksAs val="gap"/>
    <c:showDLblsOverMax val="0"/>
  </c:chart>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200" baseline="0"/>
              <a:t>Объем капиталовложений Общества в 2011-2014 гг.</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invertIfNegative val="0"/>
          <c:dLbls>
            <c:dLbl>
              <c:idx val="0"/>
              <c:layout>
                <c:manualLayout>
                  <c:x val="1.7849512921065538E-2"/>
                  <c:y val="-5.0926090444112851E-2"/>
                </c:manualLayout>
              </c:layout>
              <c:showLegendKey val="0"/>
              <c:showVal val="1"/>
              <c:showCatName val="0"/>
              <c:showSerName val="0"/>
              <c:showPercent val="0"/>
              <c:showBubbleSize val="0"/>
            </c:dLbl>
            <c:dLbl>
              <c:idx val="1"/>
              <c:layout>
                <c:manualLayout>
                  <c:x val="2.2154444241236384E-2"/>
                  <c:y val="-4.530416857140393E-2"/>
                </c:manualLayout>
              </c:layout>
              <c:showLegendKey val="0"/>
              <c:showVal val="1"/>
              <c:showCatName val="0"/>
              <c:showSerName val="0"/>
              <c:showPercent val="0"/>
              <c:showBubbleSize val="0"/>
            </c:dLbl>
            <c:dLbl>
              <c:idx val="2"/>
              <c:layout>
                <c:manualLayout>
                  <c:x val="2.0627214271032437E-2"/>
                  <c:y val="-3.1167424248958506E-2"/>
                </c:manualLayout>
              </c:layout>
              <c:showLegendKey val="0"/>
              <c:showVal val="1"/>
              <c:showCatName val="0"/>
              <c:showSerName val="0"/>
              <c:showPercent val="0"/>
              <c:showBubbleSize val="0"/>
            </c:dLbl>
            <c:dLbl>
              <c:idx val="3"/>
              <c:layout>
                <c:manualLayout>
                  <c:x val="1.8266471586927378E-2"/>
                  <c:y val="-7.1345793908865876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'Динамика кап вложен'!$B$2:$E$2</c:f>
              <c:strCache>
                <c:ptCount val="4"/>
                <c:pt idx="0">
                  <c:v>2011 г.</c:v>
                </c:pt>
                <c:pt idx="1">
                  <c:v>2012 г.</c:v>
                </c:pt>
                <c:pt idx="2">
                  <c:v>2013 г.</c:v>
                </c:pt>
                <c:pt idx="3">
                  <c:v>2014 г.</c:v>
                </c:pt>
              </c:strCache>
            </c:strRef>
          </c:cat>
          <c:val>
            <c:numRef>
              <c:f>'Динамика кап вложен'!$B$3:$E$3</c:f>
              <c:numCache>
                <c:formatCode>0.00</c:formatCode>
                <c:ptCount val="4"/>
                <c:pt idx="0">
                  <c:v>4.9913999999999996</c:v>
                </c:pt>
                <c:pt idx="1">
                  <c:v>4.9913999999999996</c:v>
                </c:pt>
                <c:pt idx="2">
                  <c:v>7.2569999999999988</c:v>
                </c:pt>
                <c:pt idx="3">
                  <c:v>6.44</c:v>
                </c:pt>
              </c:numCache>
            </c:numRef>
          </c:val>
        </c:ser>
        <c:dLbls>
          <c:showLegendKey val="0"/>
          <c:showVal val="0"/>
          <c:showCatName val="0"/>
          <c:showSerName val="0"/>
          <c:showPercent val="0"/>
          <c:showBubbleSize val="0"/>
        </c:dLbls>
        <c:gapWidth val="150"/>
        <c:shape val="cylinder"/>
        <c:axId val="133790208"/>
        <c:axId val="89247680"/>
        <c:axId val="0"/>
      </c:bar3DChart>
      <c:catAx>
        <c:axId val="133790208"/>
        <c:scaling>
          <c:orientation val="minMax"/>
        </c:scaling>
        <c:delete val="0"/>
        <c:axPos val="b"/>
        <c:numFmt formatCode="General" sourceLinked="1"/>
        <c:majorTickMark val="out"/>
        <c:minorTickMark val="none"/>
        <c:tickLblPos val="nextTo"/>
        <c:crossAx val="89247680"/>
        <c:crosses val="autoZero"/>
        <c:auto val="1"/>
        <c:lblAlgn val="ctr"/>
        <c:lblOffset val="100"/>
        <c:noMultiLvlLbl val="0"/>
      </c:catAx>
      <c:valAx>
        <c:axId val="89247680"/>
        <c:scaling>
          <c:orientation val="minMax"/>
        </c:scaling>
        <c:delete val="0"/>
        <c:axPos val="l"/>
        <c:majorGridlines/>
        <c:numFmt formatCode="#,##0.0" sourceLinked="0"/>
        <c:majorTickMark val="out"/>
        <c:minorTickMark val="none"/>
        <c:tickLblPos val="nextTo"/>
        <c:crossAx val="133790208"/>
        <c:crosses val="autoZero"/>
        <c:crossBetween val="between"/>
      </c:val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1"/>
            <c:showCatName val="0"/>
            <c:showSerName val="0"/>
            <c:showPercent val="0"/>
            <c:showBubbleSize val="0"/>
            <c:showLeaderLines val="1"/>
          </c:dLbls>
          <c:cat>
            <c:strRef>
              <c:f>'Капитальные вложения'!$H$4:$H$7</c:f>
              <c:strCache>
                <c:ptCount val="4"/>
                <c:pt idx="0">
                  <c:v>Оргтехника</c:v>
                </c:pt>
                <c:pt idx="1">
                  <c:v>Мебель</c:v>
                </c:pt>
                <c:pt idx="2">
                  <c:v>Автомобили</c:v>
                </c:pt>
                <c:pt idx="3">
                  <c:v>Прочие  </c:v>
                </c:pt>
              </c:strCache>
            </c:strRef>
          </c:cat>
          <c:val>
            <c:numRef>
              <c:f>'Капитальные вложения'!$I$4:$I$7</c:f>
            </c:numRef>
          </c:val>
        </c:ser>
        <c:ser>
          <c:idx val="1"/>
          <c:order val="1"/>
          <c:explosion val="25"/>
          <c:dLbls>
            <c:dLbl>
              <c:idx val="0"/>
              <c:layout>
                <c:manualLayout>
                  <c:x val="-7.5015310586176729E-3"/>
                  <c:y val="-0.2997072761738116"/>
                </c:manualLayout>
              </c:layout>
              <c:showLegendKey val="0"/>
              <c:showVal val="1"/>
              <c:showCatName val="0"/>
              <c:showSerName val="0"/>
              <c:showPercent val="0"/>
              <c:showBubbleSize val="0"/>
            </c:dLbl>
            <c:dLbl>
              <c:idx val="1"/>
              <c:layout>
                <c:manualLayout>
                  <c:x val="1.7909667541557307E-2"/>
                  <c:y val="-0.16313356663750364"/>
                </c:manualLayout>
              </c:layout>
              <c:showLegendKey val="0"/>
              <c:showVal val="1"/>
              <c:showCatName val="0"/>
              <c:showSerName val="0"/>
              <c:showPercent val="0"/>
              <c:showBubbleSize val="0"/>
            </c:dLbl>
            <c:dLbl>
              <c:idx val="2"/>
              <c:layout>
                <c:manualLayout>
                  <c:x val="6.0575459317585303E-2"/>
                  <c:y val="-3.8145960921551474E-2"/>
                </c:manualLayout>
              </c:layout>
              <c:showLegendKey val="0"/>
              <c:showVal val="1"/>
              <c:showCatName val="0"/>
              <c:showSerName val="0"/>
              <c:showPercent val="0"/>
              <c:showBubbleSize val="0"/>
            </c:dLbl>
            <c:showLegendKey val="0"/>
            <c:showVal val="1"/>
            <c:showCatName val="0"/>
            <c:showSerName val="0"/>
            <c:showPercent val="0"/>
            <c:showBubbleSize val="0"/>
            <c:showLeaderLines val="1"/>
          </c:dLbls>
          <c:cat>
            <c:strRef>
              <c:f>'Капитальные вложения'!$H$4:$H$7</c:f>
              <c:strCache>
                <c:ptCount val="4"/>
                <c:pt idx="0">
                  <c:v>Оргтехника</c:v>
                </c:pt>
                <c:pt idx="1">
                  <c:v>Мебель</c:v>
                </c:pt>
                <c:pt idx="2">
                  <c:v>Автомобили</c:v>
                </c:pt>
                <c:pt idx="3">
                  <c:v>Прочие  </c:v>
                </c:pt>
              </c:strCache>
            </c:strRef>
          </c:cat>
          <c:val>
            <c:numRef>
              <c:f>'Капитальные вложения'!$J$4:$J$7</c:f>
              <c:numCache>
                <c:formatCode>0.0%</c:formatCode>
                <c:ptCount val="4"/>
                <c:pt idx="0">
                  <c:v>0.65928119325505097</c:v>
                </c:pt>
                <c:pt idx="1">
                  <c:v>0.10744442324400839</c:v>
                </c:pt>
                <c:pt idx="2">
                  <c:v>0.22095911817661573</c:v>
                </c:pt>
                <c:pt idx="3">
                  <c:v>1.2315265324324915E-2</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title>
      <c:tx>
        <c:rich>
          <a:bodyPr/>
          <a:lstStyle/>
          <a:p>
            <a:pPr>
              <a:defRPr/>
            </a:pPr>
            <a:r>
              <a:rPr lang="ru-RU"/>
              <a:t>Объем капиталовложений в 2015-2019 гг.</a:t>
            </a:r>
          </a:p>
        </c:rich>
      </c:tx>
      <c:overlay val="0"/>
    </c:title>
    <c:autoTitleDeleted val="0"/>
    <c:view3D>
      <c:rotX val="40"/>
      <c:rotY val="0"/>
      <c:rAngAx val="1"/>
    </c:view3D>
    <c:floor>
      <c:thickness val="0"/>
    </c:floor>
    <c:sideWall>
      <c:thickness val="0"/>
    </c:sideWall>
    <c:backWall>
      <c:thickness val="0"/>
    </c:backWall>
    <c:plotArea>
      <c:layout>
        <c:manualLayout>
          <c:layoutTarget val="inner"/>
          <c:xMode val="edge"/>
          <c:yMode val="edge"/>
          <c:x val="7.8919072615923014E-2"/>
          <c:y val="0.13567720690713014"/>
          <c:w val="0.84495734908136488"/>
          <c:h val="0.77293510519367559"/>
        </c:manualLayout>
      </c:layout>
      <c:pie3DChart>
        <c:varyColors val="1"/>
        <c:ser>
          <c:idx val="0"/>
          <c:order val="0"/>
          <c:tx>
            <c:v>млн.руб. без НДС</c:v>
          </c:tx>
          <c:explosion val="25"/>
          <c:dLbls>
            <c:showLegendKey val="0"/>
            <c:showVal val="1"/>
            <c:showCatName val="0"/>
            <c:showSerName val="0"/>
            <c:showPercent val="0"/>
            <c:showBubbleSize val="0"/>
            <c:showLeaderLines val="1"/>
          </c:dLbls>
          <c:cat>
            <c:strRef>
              <c:f>Лист4!$B$2:$F$2</c:f>
              <c:strCache>
                <c:ptCount val="5"/>
                <c:pt idx="0">
                  <c:v>2015 г.</c:v>
                </c:pt>
                <c:pt idx="1">
                  <c:v>2016 г.</c:v>
                </c:pt>
                <c:pt idx="2">
                  <c:v>2017 г.</c:v>
                </c:pt>
                <c:pt idx="3">
                  <c:v>2018 г.</c:v>
                </c:pt>
                <c:pt idx="4">
                  <c:v>2019 г.</c:v>
                </c:pt>
              </c:strCache>
            </c:strRef>
          </c:cat>
          <c:val>
            <c:numRef>
              <c:f>Лист4!$B$3:$F$3</c:f>
              <c:numCache>
                <c:formatCode>0.00</c:formatCode>
                <c:ptCount val="5"/>
                <c:pt idx="0">
                  <c:v>5.6640377599999994</c:v>
                </c:pt>
                <c:pt idx="1">
                  <c:v>5.9132159999999994</c:v>
                </c:pt>
                <c:pt idx="2">
                  <c:v>6.1733975039999986</c:v>
                </c:pt>
                <c:pt idx="3">
                  <c:v>6.4450269941759988</c:v>
                </c:pt>
                <c:pt idx="4">
                  <c:v>6.7286081819197445</c:v>
                </c:pt>
              </c:numCache>
            </c:numRef>
          </c:val>
        </c:ser>
        <c:dLbls>
          <c:showLegendKey val="0"/>
          <c:showVal val="0"/>
          <c:showCatName val="0"/>
          <c:showSerName val="0"/>
          <c:showPercent val="0"/>
          <c:showBubbleSize val="0"/>
          <c:showLeaderLines val="1"/>
        </c:dLbls>
      </c:pie3DChart>
      <c:spPr>
        <a:gradFill>
          <a:gsLst>
            <a:gs pos="0">
              <a:schemeClr val="accent1">
                <a:tint val="66000"/>
                <a:satMod val="160000"/>
              </a:schemeClr>
            </a:gs>
            <a:gs pos="42000">
              <a:schemeClr val="accent1">
                <a:tint val="44500"/>
                <a:satMod val="160000"/>
              </a:schemeClr>
            </a:gs>
            <a:gs pos="100000">
              <a:schemeClr val="accent1">
                <a:tint val="23500"/>
                <a:satMod val="160000"/>
              </a:schemeClr>
            </a:gs>
          </a:gsLst>
          <a:lin ang="5400000" scaled="0"/>
        </a:gradFill>
      </c:spPr>
    </c:plotArea>
    <c:legend>
      <c:legendPos val="r"/>
      <c:layout>
        <c:manualLayout>
          <c:xMode val="edge"/>
          <c:yMode val="edge"/>
          <c:x val="0.14582086614173229"/>
          <c:y val="0.89338878631166652"/>
          <c:w val="0.70140135608048992"/>
          <c:h val="8.1767674272445343E-2"/>
        </c:manualLayout>
      </c:layout>
      <c:overlay val="0"/>
    </c:legend>
    <c:plotVisOnly val="1"/>
    <c:dispBlanksAs val="gap"/>
    <c:showDLblsOverMax val="0"/>
  </c:chart>
  <c:spPr>
    <a:gradFill>
      <a:gsLst>
        <a:gs pos="0">
          <a:schemeClr val="accent1">
            <a:tint val="66000"/>
            <a:satMod val="160000"/>
          </a:schemeClr>
        </a:gs>
        <a:gs pos="42000">
          <a:schemeClr val="accent1">
            <a:tint val="44500"/>
            <a:satMod val="160000"/>
          </a:schemeClr>
        </a:gs>
        <a:gs pos="100000">
          <a:schemeClr val="accent1">
            <a:tint val="23500"/>
            <a:satMod val="160000"/>
          </a:schemeClr>
        </a:gs>
      </a:gsLst>
      <a:lin ang="5400000" scaled="0"/>
    </a:gradFill>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581754377621376"/>
          <c:y val="4.4057617797775277E-2"/>
          <c:w val="0.75433731368668566"/>
          <c:h val="0.79652659006236659"/>
        </c:manualLayout>
      </c:layout>
      <c:barChart>
        <c:barDir val="col"/>
        <c:grouping val="clustered"/>
        <c:varyColors val="1"/>
        <c:ser>
          <c:idx val="0"/>
          <c:order val="0"/>
          <c:tx>
            <c:strRef>
              <c:f>Лист1!$B$1</c:f>
              <c:strCache>
                <c:ptCount val="1"/>
                <c:pt idx="0">
                  <c:v>Ряд 1</c:v>
                </c:pt>
              </c:strCache>
            </c:strRef>
          </c:tx>
          <c:invertIfNegative val="0"/>
          <c:dPt>
            <c:idx val="0"/>
            <c:invertIfNegative val="0"/>
            <c:bubble3D val="0"/>
          </c:dPt>
          <c:dPt>
            <c:idx val="1"/>
            <c:invertIfNegative val="0"/>
            <c:bubble3D val="0"/>
          </c:dPt>
          <c:dPt>
            <c:idx val="2"/>
            <c:invertIfNegative val="0"/>
            <c:bubble3D val="0"/>
          </c:dPt>
          <c:dLbls>
            <c:dLbl>
              <c:idx val="0"/>
              <c:layout>
                <c:manualLayout>
                  <c:x val="0"/>
                  <c:y val="0.13114754098360656"/>
                </c:manualLayout>
              </c:layout>
              <c:dLblPos val="outEnd"/>
              <c:showLegendKey val="0"/>
              <c:showVal val="1"/>
              <c:showCatName val="0"/>
              <c:showSerName val="0"/>
              <c:showPercent val="0"/>
              <c:showBubbleSize val="0"/>
            </c:dLbl>
            <c:dLbl>
              <c:idx val="1"/>
              <c:layout>
                <c:manualLayout>
                  <c:x val="0"/>
                  <c:y val="0.13114754098360656"/>
                </c:manualLayout>
              </c:layout>
              <c:tx>
                <c:rich>
                  <a:bodyPr/>
                  <a:lstStyle/>
                  <a:p>
                    <a:r>
                      <a:rPr lang="en-US"/>
                      <a:t>1501,5</a:t>
                    </a:r>
                  </a:p>
                </c:rich>
              </c:tx>
              <c:dLblPos val="outEnd"/>
              <c:showLegendKey val="0"/>
              <c:showVal val="0"/>
              <c:showCatName val="0"/>
              <c:showSerName val="0"/>
              <c:showPercent val="0"/>
              <c:showBubbleSize val="0"/>
            </c:dLbl>
            <c:dLbl>
              <c:idx val="2"/>
              <c:layout>
                <c:manualLayout>
                  <c:x val="0"/>
                  <c:y val="0.13114754098360654"/>
                </c:manualLayout>
              </c:layout>
              <c:tx>
                <c:rich>
                  <a:bodyPr/>
                  <a:lstStyle/>
                  <a:p>
                    <a:r>
                      <a:rPr lang="en-US"/>
                      <a:t>1544,0</a:t>
                    </a:r>
                  </a:p>
                </c:rich>
              </c:tx>
              <c:dLblPos val="outEnd"/>
              <c:showLegendKey val="0"/>
              <c:showVal val="0"/>
              <c:showCatName val="0"/>
              <c:showSerName val="0"/>
              <c:showPercent val="0"/>
              <c:showBubbleSize val="0"/>
            </c:dLbl>
            <c:txPr>
              <a:bodyPr/>
              <a:lstStyle/>
              <a:p>
                <a:pPr>
                  <a:defRPr sz="1000" b="1" i="0" baseline="0">
                    <a:latin typeface="Times New Roman" panose="02020603050405020304" pitchFamily="18" charset="0"/>
                  </a:defRPr>
                </a:pPr>
                <a:endParaRPr lang="ru-RU"/>
              </a:p>
            </c:txPr>
            <c:showLegendKey val="0"/>
            <c:showVal val="1"/>
            <c:showCatName val="0"/>
            <c:showSerName val="0"/>
            <c:showPercent val="0"/>
            <c:showBubbleSize val="0"/>
            <c:showLeaderLines val="0"/>
          </c:dLbls>
          <c:cat>
            <c:strRef>
              <c:f>Лист1!$A$2:$A$4</c:f>
              <c:strCache>
                <c:ptCount val="3"/>
                <c:pt idx="0">
                  <c:v>2012 г.</c:v>
                </c:pt>
                <c:pt idx="1">
                  <c:v>2013 г.</c:v>
                </c:pt>
                <c:pt idx="2">
                  <c:v>2014 г.</c:v>
                </c:pt>
              </c:strCache>
            </c:strRef>
          </c:cat>
          <c:val>
            <c:numRef>
              <c:f>Лист1!$B$2:$B$4</c:f>
              <c:numCache>
                <c:formatCode>0.0</c:formatCode>
                <c:ptCount val="3"/>
                <c:pt idx="0">
                  <c:v>1479.1</c:v>
                </c:pt>
                <c:pt idx="1">
                  <c:v>1501.5</c:v>
                </c:pt>
                <c:pt idx="2">
                  <c:v>1544</c:v>
                </c:pt>
              </c:numCache>
            </c:numRef>
          </c:val>
        </c:ser>
        <c:dLbls>
          <c:showLegendKey val="0"/>
          <c:showVal val="0"/>
          <c:showCatName val="0"/>
          <c:showSerName val="0"/>
          <c:showPercent val="0"/>
          <c:showBubbleSize val="0"/>
        </c:dLbls>
        <c:gapWidth val="150"/>
        <c:axId val="133833216"/>
        <c:axId val="119735424"/>
      </c:barChart>
      <c:catAx>
        <c:axId val="133833216"/>
        <c:scaling>
          <c:orientation val="minMax"/>
        </c:scaling>
        <c:delete val="0"/>
        <c:axPos val="b"/>
        <c:numFmt formatCode="General" sourceLinked="1"/>
        <c:majorTickMark val="out"/>
        <c:minorTickMark val="none"/>
        <c:tickLblPos val="nextTo"/>
        <c:txPr>
          <a:bodyPr/>
          <a:lstStyle/>
          <a:p>
            <a:pPr>
              <a:defRPr sz="1100" b="0" i="0" baseline="0">
                <a:latin typeface="Times New Roman" pitchFamily="18" charset="0"/>
              </a:defRPr>
            </a:pPr>
            <a:endParaRPr lang="ru-RU"/>
          </a:p>
        </c:txPr>
        <c:crossAx val="119735424"/>
        <c:crosses val="autoZero"/>
        <c:auto val="1"/>
        <c:lblAlgn val="ctr"/>
        <c:lblOffset val="100"/>
        <c:noMultiLvlLbl val="0"/>
      </c:catAx>
      <c:valAx>
        <c:axId val="119735424"/>
        <c:scaling>
          <c:orientation val="minMax"/>
          <c:max val="1550"/>
          <c:min val="1400"/>
        </c:scaling>
        <c:delete val="0"/>
        <c:axPos val="l"/>
        <c:majorGridlines/>
        <c:numFmt formatCode="0.0" sourceLinked="1"/>
        <c:majorTickMark val="out"/>
        <c:minorTickMark val="none"/>
        <c:tickLblPos val="nextTo"/>
        <c:txPr>
          <a:bodyPr/>
          <a:lstStyle/>
          <a:p>
            <a:pPr>
              <a:defRPr sz="1100" b="0" i="0" baseline="0">
                <a:latin typeface="Times New Roman" pitchFamily="18" charset="0"/>
              </a:defRPr>
            </a:pPr>
            <a:endParaRPr lang="ru-RU"/>
          </a:p>
        </c:txPr>
        <c:crossAx val="133833216"/>
        <c:crosses val="autoZero"/>
        <c:crossBetween val="between"/>
        <c:majorUnit val="50"/>
      </c:valAx>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3702346657608294"/>
          <c:y val="4.4057617797775277E-2"/>
          <c:w val="0.77317821659727093"/>
          <c:h val="0.79652659006236659"/>
        </c:manualLayout>
      </c:layout>
      <c:barChart>
        <c:barDir val="col"/>
        <c:grouping val="clustered"/>
        <c:varyColors val="1"/>
        <c:ser>
          <c:idx val="0"/>
          <c:order val="0"/>
          <c:tx>
            <c:strRef>
              <c:f>Лист1!$B$1</c:f>
              <c:strCache>
                <c:ptCount val="1"/>
                <c:pt idx="0">
                  <c:v>Ряд 1</c:v>
                </c:pt>
              </c:strCache>
            </c:strRef>
          </c:tx>
          <c:invertIfNegative val="0"/>
          <c:dPt>
            <c:idx val="0"/>
            <c:invertIfNegative val="0"/>
            <c:bubble3D val="0"/>
          </c:dPt>
          <c:dPt>
            <c:idx val="1"/>
            <c:invertIfNegative val="0"/>
            <c:bubble3D val="0"/>
          </c:dPt>
          <c:dPt>
            <c:idx val="2"/>
            <c:invertIfNegative val="0"/>
            <c:bubble3D val="0"/>
          </c:dPt>
          <c:dLbls>
            <c:txPr>
              <a:bodyPr/>
              <a:lstStyle/>
              <a:p>
                <a:pPr>
                  <a:defRPr b="1">
                    <a:latin typeface="Times New Roman" pitchFamily="18" charset="0"/>
                    <a:cs typeface="Times New Roman" pitchFamily="18" charset="0"/>
                  </a:defRPr>
                </a:pPr>
                <a:endParaRPr lang="ru-RU"/>
              </a:p>
            </c:txPr>
            <c:dLblPos val="inEnd"/>
            <c:showLegendKey val="0"/>
            <c:showVal val="1"/>
            <c:showCatName val="0"/>
            <c:showSerName val="0"/>
            <c:showPercent val="0"/>
            <c:showBubbleSize val="0"/>
            <c:showLeaderLines val="0"/>
          </c:dLbls>
          <c:cat>
            <c:strRef>
              <c:f>Лист1!$A$2:$A$4</c:f>
              <c:strCache>
                <c:ptCount val="3"/>
                <c:pt idx="0">
                  <c:v>2012 г.</c:v>
                </c:pt>
                <c:pt idx="1">
                  <c:v>2013 г.</c:v>
                </c:pt>
                <c:pt idx="2">
                  <c:v>2014 г.</c:v>
                </c:pt>
              </c:strCache>
            </c:strRef>
          </c:cat>
          <c:val>
            <c:numRef>
              <c:f>Лист1!$B$2:$B$4</c:f>
              <c:numCache>
                <c:formatCode>0.0</c:formatCode>
                <c:ptCount val="3"/>
                <c:pt idx="0">
                  <c:v>207.9</c:v>
                </c:pt>
                <c:pt idx="1">
                  <c:v>210.4</c:v>
                </c:pt>
                <c:pt idx="2">
                  <c:v>215</c:v>
                </c:pt>
              </c:numCache>
            </c:numRef>
          </c:val>
        </c:ser>
        <c:dLbls>
          <c:showLegendKey val="0"/>
          <c:showVal val="0"/>
          <c:showCatName val="0"/>
          <c:showSerName val="0"/>
          <c:showPercent val="0"/>
          <c:showBubbleSize val="0"/>
        </c:dLbls>
        <c:gapWidth val="150"/>
        <c:axId val="133841408"/>
        <c:axId val="119737152"/>
      </c:barChart>
      <c:catAx>
        <c:axId val="133841408"/>
        <c:scaling>
          <c:orientation val="minMax"/>
        </c:scaling>
        <c:delete val="0"/>
        <c:axPos val="b"/>
        <c:numFmt formatCode="General" sourceLinked="1"/>
        <c:majorTickMark val="out"/>
        <c:minorTickMark val="none"/>
        <c:tickLblPos val="nextTo"/>
        <c:txPr>
          <a:bodyPr/>
          <a:lstStyle/>
          <a:p>
            <a:pPr>
              <a:defRPr sz="1100" b="0" i="0" baseline="0">
                <a:latin typeface="Times New Roman" pitchFamily="18" charset="0"/>
              </a:defRPr>
            </a:pPr>
            <a:endParaRPr lang="ru-RU"/>
          </a:p>
        </c:txPr>
        <c:crossAx val="119737152"/>
        <c:crosses val="autoZero"/>
        <c:auto val="1"/>
        <c:lblAlgn val="ctr"/>
        <c:lblOffset val="100"/>
        <c:noMultiLvlLbl val="0"/>
      </c:catAx>
      <c:valAx>
        <c:axId val="119737152"/>
        <c:scaling>
          <c:orientation val="minMax"/>
          <c:max val="215"/>
          <c:min val="200"/>
        </c:scaling>
        <c:delete val="0"/>
        <c:axPos val="l"/>
        <c:majorGridlines/>
        <c:title>
          <c:tx>
            <c:rich>
              <a:bodyPr rot="-5400000" vert="horz"/>
              <a:lstStyle/>
              <a:p>
                <a:pPr>
                  <a:defRPr>
                    <a:latin typeface="Times New Roman" pitchFamily="18" charset="0"/>
                    <a:cs typeface="Times New Roman" pitchFamily="18" charset="0"/>
                  </a:defRPr>
                </a:pPr>
                <a:r>
                  <a:rPr lang="ru-RU" b="0">
                    <a:latin typeface="Times New Roman" pitchFamily="18" charset="0"/>
                    <a:cs typeface="Times New Roman" pitchFamily="18" charset="0"/>
                  </a:rPr>
                  <a:t>МВт</a:t>
                </a:r>
              </a:p>
            </c:rich>
          </c:tx>
          <c:layout>
            <c:manualLayout>
              <c:xMode val="edge"/>
              <c:yMode val="edge"/>
              <c:x val="2.4856003179225542E-2"/>
              <c:y val="0.37531351127880286"/>
            </c:manualLayout>
          </c:layout>
          <c:overlay val="0"/>
        </c:title>
        <c:numFmt formatCode="0.0" sourceLinked="1"/>
        <c:majorTickMark val="out"/>
        <c:minorTickMark val="none"/>
        <c:tickLblPos val="nextTo"/>
        <c:txPr>
          <a:bodyPr/>
          <a:lstStyle/>
          <a:p>
            <a:pPr>
              <a:defRPr sz="1000" b="0" i="0" baseline="0">
                <a:latin typeface="Times New Roman" pitchFamily="18" charset="0"/>
              </a:defRPr>
            </a:pPr>
            <a:endParaRPr lang="ru-RU"/>
          </a:p>
        </c:txPr>
        <c:crossAx val="133841408"/>
        <c:crosses val="autoZero"/>
        <c:crossBetween val="between"/>
        <c:majorUnit val="5"/>
      </c:valAx>
    </c:plotArea>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356681977252843"/>
          <c:y val="4.4057617797775277E-2"/>
          <c:w val="0.71661945902595503"/>
          <c:h val="0.79652659006236659"/>
        </c:manualLayout>
      </c:layout>
      <c:barChart>
        <c:barDir val="col"/>
        <c:grouping val="clustered"/>
        <c:varyColors val="1"/>
        <c:ser>
          <c:idx val="0"/>
          <c:order val="0"/>
          <c:tx>
            <c:strRef>
              <c:f>Лист1!$B$1</c:f>
              <c:strCache>
                <c:ptCount val="1"/>
                <c:pt idx="0">
                  <c:v>Ряд 1</c:v>
                </c:pt>
              </c:strCache>
            </c:strRef>
          </c:tx>
          <c:invertIfNegative val="0"/>
          <c:dPt>
            <c:idx val="0"/>
            <c:invertIfNegative val="0"/>
            <c:bubble3D val="0"/>
          </c:dPt>
          <c:dPt>
            <c:idx val="1"/>
            <c:invertIfNegative val="0"/>
            <c:bubble3D val="0"/>
          </c:dPt>
          <c:dPt>
            <c:idx val="2"/>
            <c:invertIfNegative val="0"/>
            <c:bubble3D val="0"/>
          </c:dPt>
          <c:dLbls>
            <c:txPr>
              <a:bodyPr/>
              <a:lstStyle/>
              <a:p>
                <a:pPr>
                  <a:defRPr b="1">
                    <a:latin typeface="Times New Roman" pitchFamily="18" charset="0"/>
                    <a:cs typeface="Times New Roman" pitchFamily="18" charset="0"/>
                  </a:defRPr>
                </a:pPr>
                <a:endParaRPr lang="ru-RU"/>
              </a:p>
            </c:txPr>
            <c:dLblPos val="inEnd"/>
            <c:showLegendKey val="0"/>
            <c:showVal val="1"/>
            <c:showCatName val="0"/>
            <c:showSerName val="0"/>
            <c:showPercent val="0"/>
            <c:showBubbleSize val="0"/>
            <c:showLeaderLines val="0"/>
          </c:dLbls>
          <c:cat>
            <c:strRef>
              <c:f>Лист1!$A$2:$A$4</c:f>
              <c:strCache>
                <c:ptCount val="3"/>
                <c:pt idx="0">
                  <c:v>2012 г.</c:v>
                </c:pt>
                <c:pt idx="1">
                  <c:v>2013 г.</c:v>
                </c:pt>
                <c:pt idx="2">
                  <c:v>2014 г.</c:v>
                </c:pt>
              </c:strCache>
            </c:strRef>
          </c:cat>
          <c:val>
            <c:numRef>
              <c:f>Лист1!$B$2:$B$4</c:f>
              <c:numCache>
                <c:formatCode>0.0</c:formatCode>
                <c:ptCount val="3"/>
                <c:pt idx="0">
                  <c:v>100.9</c:v>
                </c:pt>
                <c:pt idx="1">
                  <c:v>110.1</c:v>
                </c:pt>
                <c:pt idx="2">
                  <c:v>100.8</c:v>
                </c:pt>
              </c:numCache>
            </c:numRef>
          </c:val>
        </c:ser>
        <c:dLbls>
          <c:showLegendKey val="0"/>
          <c:showVal val="0"/>
          <c:showCatName val="0"/>
          <c:showSerName val="0"/>
          <c:showPercent val="0"/>
          <c:showBubbleSize val="0"/>
        </c:dLbls>
        <c:gapWidth val="150"/>
        <c:axId val="133841920"/>
        <c:axId val="119736000"/>
      </c:barChart>
      <c:catAx>
        <c:axId val="133841920"/>
        <c:scaling>
          <c:orientation val="minMax"/>
        </c:scaling>
        <c:delete val="0"/>
        <c:axPos val="b"/>
        <c:numFmt formatCode="General" sourceLinked="1"/>
        <c:majorTickMark val="out"/>
        <c:minorTickMark val="none"/>
        <c:tickLblPos val="nextTo"/>
        <c:txPr>
          <a:bodyPr/>
          <a:lstStyle/>
          <a:p>
            <a:pPr>
              <a:defRPr sz="1000" b="0" i="0" baseline="0">
                <a:latin typeface="Times New Roman" pitchFamily="18" charset="0"/>
              </a:defRPr>
            </a:pPr>
            <a:endParaRPr lang="ru-RU"/>
          </a:p>
        </c:txPr>
        <c:crossAx val="119736000"/>
        <c:crosses val="autoZero"/>
        <c:auto val="1"/>
        <c:lblAlgn val="ctr"/>
        <c:lblOffset val="100"/>
        <c:noMultiLvlLbl val="0"/>
      </c:catAx>
      <c:valAx>
        <c:axId val="119736000"/>
        <c:scaling>
          <c:orientation val="minMax"/>
          <c:max val="112"/>
          <c:min val="70"/>
        </c:scaling>
        <c:delete val="0"/>
        <c:axPos val="l"/>
        <c:majorGridlines/>
        <c:title>
          <c:tx>
            <c:rich>
              <a:bodyPr rot="-5400000" vert="horz"/>
              <a:lstStyle/>
              <a:p>
                <a:pPr>
                  <a:defRPr>
                    <a:latin typeface="Times New Roman" pitchFamily="18" charset="0"/>
                    <a:cs typeface="Times New Roman" pitchFamily="18" charset="0"/>
                  </a:defRPr>
                </a:pPr>
                <a:r>
                  <a:rPr lang="ru-RU">
                    <a:latin typeface="Times New Roman" pitchFamily="18" charset="0"/>
                    <a:cs typeface="Times New Roman" pitchFamily="18" charset="0"/>
                  </a:rPr>
                  <a:t>Уровень оплаты, %</a:t>
                </a:r>
              </a:p>
            </c:rich>
          </c:tx>
          <c:layout>
            <c:manualLayout>
              <c:xMode val="edge"/>
              <c:yMode val="edge"/>
              <c:x val="2.1790891050989615E-2"/>
              <c:y val="0.12741178845856937"/>
            </c:manualLayout>
          </c:layout>
          <c:overlay val="0"/>
        </c:title>
        <c:numFmt formatCode="0.0" sourceLinked="1"/>
        <c:majorTickMark val="out"/>
        <c:minorTickMark val="none"/>
        <c:tickLblPos val="nextTo"/>
        <c:txPr>
          <a:bodyPr/>
          <a:lstStyle/>
          <a:p>
            <a:pPr>
              <a:defRPr sz="1000" b="0" i="0" baseline="0">
                <a:latin typeface="Times New Roman" pitchFamily="18" charset="0"/>
              </a:defRPr>
            </a:pPr>
            <a:endParaRPr lang="ru-RU"/>
          </a:p>
        </c:txPr>
        <c:crossAx val="133841920"/>
        <c:crosses val="autoZero"/>
        <c:crossBetween val="between"/>
        <c:majorUnit val="10"/>
      </c:valAx>
    </c:plotArea>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Диаграмма!$B$1</c:f>
              <c:strCache>
                <c:ptCount val="1"/>
                <c:pt idx="0">
                  <c:v>2012 г.</c:v>
                </c:pt>
              </c:strCache>
            </c:strRef>
          </c:tx>
          <c:invertIfNegative val="0"/>
          <c:cat>
            <c:strRef>
              <c:f>Диаграмма!$A$2:$A$10</c:f>
              <c:strCache>
                <c:ptCount val="9"/>
                <c:pt idx="0">
                  <c:v>Промышленные потребители</c:v>
                </c:pt>
                <c:pt idx="1">
                  <c:v>Непромышленные потребители</c:v>
                </c:pt>
                <c:pt idx="2">
                  <c:v>Энергосбытовые компании</c:v>
                </c:pt>
                <c:pt idx="3">
                  <c:v>Сельскохозяйственные потребители</c:v>
                </c:pt>
                <c:pt idx="4">
                  <c:v>Население</c:v>
                </c:pt>
                <c:pt idx="5">
                  <c:v>Бюджет</c:v>
                </c:pt>
                <c:pt idx="6">
                  <c:v>Предприятия ЖКХ</c:v>
                </c:pt>
                <c:pt idx="7">
                  <c:v>    Потери РСК</c:v>
                </c:pt>
                <c:pt idx="8">
                  <c:v>    Потери ТСО</c:v>
                </c:pt>
              </c:strCache>
            </c:strRef>
          </c:cat>
          <c:val>
            <c:numRef>
              <c:f>Диаграмма!$B$2:$B$10</c:f>
              <c:numCache>
                <c:formatCode>#,##0.0</c:formatCode>
                <c:ptCount val="9"/>
                <c:pt idx="0">
                  <c:v>206.6</c:v>
                </c:pt>
                <c:pt idx="1">
                  <c:v>45.1</c:v>
                </c:pt>
                <c:pt idx="2">
                  <c:v>600.5</c:v>
                </c:pt>
                <c:pt idx="3">
                  <c:v>29.7</c:v>
                </c:pt>
                <c:pt idx="4">
                  <c:v>223.2</c:v>
                </c:pt>
                <c:pt idx="5">
                  <c:v>50.1</c:v>
                </c:pt>
                <c:pt idx="6">
                  <c:v>64.8</c:v>
                </c:pt>
                <c:pt idx="7">
                  <c:v>235.1</c:v>
                </c:pt>
                <c:pt idx="8">
                  <c:v>23.8</c:v>
                </c:pt>
              </c:numCache>
            </c:numRef>
          </c:val>
        </c:ser>
        <c:ser>
          <c:idx val="1"/>
          <c:order val="1"/>
          <c:tx>
            <c:strRef>
              <c:f>Диаграмма!$C$1</c:f>
              <c:strCache>
                <c:ptCount val="1"/>
                <c:pt idx="0">
                  <c:v>2013 г.</c:v>
                </c:pt>
              </c:strCache>
            </c:strRef>
          </c:tx>
          <c:invertIfNegative val="0"/>
          <c:cat>
            <c:strRef>
              <c:f>Диаграмма!$A$2:$A$10</c:f>
              <c:strCache>
                <c:ptCount val="9"/>
                <c:pt idx="0">
                  <c:v>Промышленные потребители</c:v>
                </c:pt>
                <c:pt idx="1">
                  <c:v>Непромышленные потребители</c:v>
                </c:pt>
                <c:pt idx="2">
                  <c:v>Энергосбытовые компании</c:v>
                </c:pt>
                <c:pt idx="3">
                  <c:v>Сельскохозяйственные потребители</c:v>
                </c:pt>
                <c:pt idx="4">
                  <c:v>Население</c:v>
                </c:pt>
                <c:pt idx="5">
                  <c:v>Бюджет</c:v>
                </c:pt>
                <c:pt idx="6">
                  <c:v>Предприятия ЖКХ</c:v>
                </c:pt>
                <c:pt idx="7">
                  <c:v>    Потери РСК</c:v>
                </c:pt>
                <c:pt idx="8">
                  <c:v>    Потери ТСО</c:v>
                </c:pt>
              </c:strCache>
            </c:strRef>
          </c:cat>
          <c:val>
            <c:numRef>
              <c:f>Диаграмма!$C$2:$C$10</c:f>
              <c:numCache>
                <c:formatCode>#,##0.0</c:formatCode>
                <c:ptCount val="9"/>
                <c:pt idx="0">
                  <c:v>236.9</c:v>
                </c:pt>
                <c:pt idx="1">
                  <c:v>101.9</c:v>
                </c:pt>
                <c:pt idx="2">
                  <c:v>326.60000000000002</c:v>
                </c:pt>
                <c:pt idx="3">
                  <c:v>31.8</c:v>
                </c:pt>
                <c:pt idx="4">
                  <c:v>281.89999999999998</c:v>
                </c:pt>
                <c:pt idx="5">
                  <c:v>96.7</c:v>
                </c:pt>
                <c:pt idx="6">
                  <c:v>64</c:v>
                </c:pt>
                <c:pt idx="7">
                  <c:v>231.8</c:v>
                </c:pt>
                <c:pt idx="8">
                  <c:v>130.1</c:v>
                </c:pt>
              </c:numCache>
            </c:numRef>
          </c:val>
        </c:ser>
        <c:ser>
          <c:idx val="2"/>
          <c:order val="2"/>
          <c:tx>
            <c:strRef>
              <c:f>Диаграмма!$D$1</c:f>
              <c:strCache>
                <c:ptCount val="1"/>
                <c:pt idx="0">
                  <c:v>2014г.</c:v>
                </c:pt>
              </c:strCache>
            </c:strRef>
          </c:tx>
          <c:invertIfNegative val="0"/>
          <c:dLbls>
            <c:showLegendKey val="0"/>
            <c:showVal val="1"/>
            <c:showCatName val="0"/>
            <c:showSerName val="0"/>
            <c:showPercent val="0"/>
            <c:showBubbleSize val="0"/>
            <c:showLeaderLines val="0"/>
          </c:dLbls>
          <c:cat>
            <c:strRef>
              <c:f>Диаграмма!$A$2:$A$10</c:f>
              <c:strCache>
                <c:ptCount val="9"/>
                <c:pt idx="0">
                  <c:v>Промышленные потребители</c:v>
                </c:pt>
                <c:pt idx="1">
                  <c:v>Непромышленные потребители</c:v>
                </c:pt>
                <c:pt idx="2">
                  <c:v>Энергосбытовые компании</c:v>
                </c:pt>
                <c:pt idx="3">
                  <c:v>Сельскохозяйственные потребители</c:v>
                </c:pt>
                <c:pt idx="4">
                  <c:v>Население</c:v>
                </c:pt>
                <c:pt idx="5">
                  <c:v>Бюджет</c:v>
                </c:pt>
                <c:pt idx="6">
                  <c:v>Предприятия ЖКХ</c:v>
                </c:pt>
                <c:pt idx="7">
                  <c:v>    Потери РСК</c:v>
                </c:pt>
                <c:pt idx="8">
                  <c:v>    Потери ТСО</c:v>
                </c:pt>
              </c:strCache>
            </c:strRef>
          </c:cat>
          <c:val>
            <c:numRef>
              <c:f>Диаграмма!$D$2:$D$10</c:f>
              <c:numCache>
                <c:formatCode>#,##0.0</c:formatCode>
                <c:ptCount val="9"/>
                <c:pt idx="0">
                  <c:v>237.34629904000002</c:v>
                </c:pt>
                <c:pt idx="1">
                  <c:v>134.27201700000001</c:v>
                </c:pt>
                <c:pt idx="2">
                  <c:v>88.193633000000005</c:v>
                </c:pt>
                <c:pt idx="3">
                  <c:v>33.902879999999996</c:v>
                </c:pt>
                <c:pt idx="4">
                  <c:v>367.25233199999997</c:v>
                </c:pt>
                <c:pt idx="5">
                  <c:v>110.781459</c:v>
                </c:pt>
                <c:pt idx="6">
                  <c:v>129.07414199999999</c:v>
                </c:pt>
                <c:pt idx="7">
                  <c:v>251.34405899999999</c:v>
                </c:pt>
                <c:pt idx="8">
                  <c:v>191.78984</c:v>
                </c:pt>
              </c:numCache>
            </c:numRef>
          </c:val>
        </c:ser>
        <c:dLbls>
          <c:showLegendKey val="0"/>
          <c:showVal val="0"/>
          <c:showCatName val="0"/>
          <c:showSerName val="0"/>
          <c:showPercent val="0"/>
          <c:showBubbleSize val="0"/>
        </c:dLbls>
        <c:gapWidth val="150"/>
        <c:shape val="cylinder"/>
        <c:axId val="134276096"/>
        <c:axId val="119738880"/>
        <c:axId val="0"/>
      </c:bar3DChart>
      <c:catAx>
        <c:axId val="134276096"/>
        <c:scaling>
          <c:orientation val="minMax"/>
        </c:scaling>
        <c:delete val="0"/>
        <c:axPos val="b"/>
        <c:majorTickMark val="out"/>
        <c:minorTickMark val="none"/>
        <c:tickLblPos val="nextTo"/>
        <c:crossAx val="119738880"/>
        <c:crosses val="autoZero"/>
        <c:auto val="1"/>
        <c:lblAlgn val="ctr"/>
        <c:lblOffset val="100"/>
        <c:noMultiLvlLbl val="0"/>
      </c:catAx>
      <c:valAx>
        <c:axId val="119738880"/>
        <c:scaling>
          <c:orientation val="minMax"/>
        </c:scaling>
        <c:delete val="0"/>
        <c:axPos val="l"/>
        <c:majorGridlines/>
        <c:numFmt formatCode="#,##0.0" sourceLinked="1"/>
        <c:majorTickMark val="out"/>
        <c:minorTickMark val="none"/>
        <c:tickLblPos val="nextTo"/>
        <c:crossAx val="134276096"/>
        <c:crosses val="autoZero"/>
        <c:crossBetween val="between"/>
      </c:valAx>
    </c:plotArea>
    <c:legend>
      <c:legendPos val="r"/>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doughnutChart>
        <c:varyColors val="1"/>
        <c:ser>
          <c:idx val="0"/>
          <c:order val="0"/>
          <c:tx>
            <c:strRef>
              <c:f>Лист1!$B$1</c:f>
              <c:strCache>
                <c:ptCount val="1"/>
                <c:pt idx="0">
                  <c:v> </c:v>
                </c:pt>
              </c:strCache>
            </c:strRef>
          </c:tx>
          <c:dLbls>
            <c:showLegendKey val="0"/>
            <c:showVal val="1"/>
            <c:showCatName val="0"/>
            <c:showSerName val="0"/>
            <c:showPercent val="0"/>
            <c:showBubbleSize val="0"/>
            <c:showLeaderLines val="1"/>
          </c:dLbls>
          <c:cat>
            <c:strRef>
              <c:f>Лист1!$A$2:$A$4</c:f>
              <c:strCache>
                <c:ptCount val="3"/>
                <c:pt idx="0">
                  <c:v>Владельцы - физические лица</c:v>
                </c:pt>
                <c:pt idx="1">
                  <c:v>Владельцы - юридические лица</c:v>
                </c:pt>
                <c:pt idx="2">
                  <c:v>Номинальные держатели</c:v>
                </c:pt>
              </c:strCache>
            </c:strRef>
          </c:cat>
          <c:val>
            <c:numRef>
              <c:f>Лист1!$B$2:$B$4</c:f>
              <c:numCache>
                <c:formatCode>General</c:formatCode>
                <c:ptCount val="3"/>
                <c:pt idx="0">
                  <c:v>7.28</c:v>
                </c:pt>
                <c:pt idx="1">
                  <c:v>17.510000000000002</c:v>
                </c:pt>
                <c:pt idx="2">
                  <c:v>75.209999999999994</c:v>
                </c:pt>
              </c:numCache>
            </c:numRef>
          </c:val>
        </c:ser>
        <c:dLbls>
          <c:showLegendKey val="0"/>
          <c:showVal val="0"/>
          <c:showCatName val="0"/>
          <c:showSerName val="0"/>
          <c:showPercent val="0"/>
          <c:showBubbleSize val="0"/>
          <c:showLeaderLines val="1"/>
        </c:dLbls>
        <c:firstSliceAng val="0"/>
        <c:holeSize val="50"/>
      </c:doughnutChart>
    </c:plotArea>
    <c:legend>
      <c:legendPos val="r"/>
      <c:overlay val="0"/>
    </c:legend>
    <c:plotVisOnly val="1"/>
    <c:dispBlanksAs val="gap"/>
    <c:showDLblsOverMax val="0"/>
  </c:chart>
  <c:spPr>
    <a:ln>
      <a:solidFill>
        <a:schemeClr val="bg1"/>
      </a:solidFill>
    </a:ln>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autoTitleDeleted val="1"/>
    <c:plotArea>
      <c:layout/>
      <c:doughnutChart>
        <c:varyColors val="1"/>
        <c:ser>
          <c:idx val="0"/>
          <c:order val="0"/>
          <c:tx>
            <c:strRef>
              <c:f>Лист1!$B$1</c:f>
              <c:strCache>
                <c:ptCount val="1"/>
                <c:pt idx="0">
                  <c:v>Продажи</c:v>
                </c:pt>
              </c:strCache>
            </c:strRef>
          </c:tx>
          <c:dLbls>
            <c:showLegendKey val="0"/>
            <c:showVal val="1"/>
            <c:showCatName val="0"/>
            <c:showSerName val="0"/>
            <c:showPercent val="0"/>
            <c:showBubbleSize val="0"/>
            <c:showLeaderLines val="1"/>
          </c:dLbls>
          <c:cat>
            <c:strRef>
              <c:f>Лист1!$A$2:$A$5</c:f>
              <c:strCache>
                <c:ptCount val="4"/>
                <c:pt idx="0">
                  <c:v>ОАО «Россети»</c:v>
                </c:pt>
                <c:pt idx="1">
                  <c:v>Федеральное агентство по управлению государственным имуществом</c:v>
                </c:pt>
                <c:pt idx="2">
                  <c:v>Renaissance Securities (Cyprus) Limited</c:v>
                </c:pt>
                <c:pt idx="3">
                  <c:v>Акционеры, владеющие менее 5% акций Общества</c:v>
                </c:pt>
              </c:strCache>
            </c:strRef>
          </c:cat>
          <c:val>
            <c:numRef>
              <c:f>Лист1!$B$2:$B$5</c:f>
              <c:numCache>
                <c:formatCode>General</c:formatCode>
                <c:ptCount val="4"/>
                <c:pt idx="0">
                  <c:v>65.3</c:v>
                </c:pt>
                <c:pt idx="1">
                  <c:v>13</c:v>
                </c:pt>
                <c:pt idx="2">
                  <c:v>7.53</c:v>
                </c:pt>
                <c:pt idx="3">
                  <c:v>14.17</c:v>
                </c:pt>
              </c:numCache>
            </c:numRef>
          </c:val>
        </c:ser>
        <c:dLbls>
          <c:showLegendKey val="0"/>
          <c:showVal val="1"/>
          <c:showCatName val="0"/>
          <c:showSerName val="0"/>
          <c:showPercent val="0"/>
          <c:showBubbleSize val="0"/>
          <c:showLeaderLines val="1"/>
        </c:dLbls>
        <c:firstSliceAng val="0"/>
        <c:holeSize val="50"/>
      </c:doughnutChart>
    </c:plotArea>
    <c:legend>
      <c:legendPos val="r"/>
      <c:overlay val="0"/>
    </c:legend>
    <c:plotVisOnly val="1"/>
    <c:dispBlanksAs val="gap"/>
    <c:showDLblsOverMax val="0"/>
  </c:chart>
  <c:spPr>
    <a:ln>
      <a:solidFill>
        <a:schemeClr val="bg1"/>
      </a:solidFill>
    </a:ln>
  </c:sp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Продажи</c:v>
                </c:pt>
              </c:strCache>
            </c:strRef>
          </c:tx>
          <c:dPt>
            <c:idx val="0"/>
            <c:bubble3D val="0"/>
          </c:dPt>
          <c:dPt>
            <c:idx val="1"/>
            <c:bubble3D val="0"/>
          </c:dPt>
          <c:dLbls>
            <c:spPr>
              <a:noFill/>
              <a:ln w="15225">
                <a:noFill/>
              </a:ln>
            </c:spPr>
            <c:txPr>
              <a:bodyPr/>
              <a:lstStyle/>
              <a:p>
                <a:pPr>
                  <a:defRPr sz="1000" b="0"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dLbls>
          <c:cat>
            <c:strRef>
              <c:f>Лист1!$A$2:$A$3</c:f>
              <c:strCache>
                <c:ptCount val="2"/>
                <c:pt idx="0">
                  <c:v>Исполнительный аппарат</c:v>
                </c:pt>
                <c:pt idx="1">
                  <c:v>Энергосбытовые отделения</c:v>
                </c:pt>
              </c:strCache>
            </c:strRef>
          </c:cat>
          <c:val>
            <c:numRef>
              <c:f>Лист1!$B$2:$B$3</c:f>
              <c:numCache>
                <c:formatCode>0%</c:formatCode>
                <c:ptCount val="2"/>
                <c:pt idx="0">
                  <c:v>0.4</c:v>
                </c:pt>
                <c:pt idx="1">
                  <c:v>0.6</c:v>
                </c:pt>
              </c:numCache>
            </c:numRef>
          </c:val>
        </c:ser>
        <c:dLbls>
          <c:showLegendKey val="0"/>
          <c:showVal val="0"/>
          <c:showCatName val="0"/>
          <c:showSerName val="0"/>
          <c:showPercent val="0"/>
          <c:showBubbleSize val="0"/>
          <c:showLeaderLines val="1"/>
        </c:dLbls>
        <c:firstSliceAng val="0"/>
      </c:pieChart>
      <c:spPr>
        <a:noFill/>
        <a:ln w="15225">
          <a:noFill/>
        </a:ln>
      </c:spPr>
    </c:plotArea>
    <c:legend>
      <c:legendPos val="r"/>
      <c:legendEntry>
        <c:idx val="0"/>
        <c:txPr>
          <a:bodyPr/>
          <a:lstStyle/>
          <a:p>
            <a:pPr>
              <a:defRPr sz="900" b="0" i="0" u="none" strike="noStrike" baseline="0">
                <a:solidFill>
                  <a:srgbClr val="000000"/>
                </a:solidFill>
                <a:latin typeface="Calibri"/>
                <a:ea typeface="Calibri"/>
                <a:cs typeface="Calibri"/>
              </a:defRPr>
            </a:pPr>
            <a:endParaRPr lang="ru-RU"/>
          </a:p>
        </c:txPr>
      </c:legendEntry>
      <c:legendEntry>
        <c:idx val="1"/>
        <c:txPr>
          <a:bodyPr/>
          <a:lstStyle/>
          <a:p>
            <a:pPr>
              <a:defRPr sz="900" b="0" i="0" u="none" strike="noStrike" baseline="0">
                <a:solidFill>
                  <a:srgbClr val="000000"/>
                </a:solidFill>
                <a:latin typeface="Calibri"/>
                <a:ea typeface="Calibri"/>
                <a:cs typeface="Calibri"/>
              </a:defRPr>
            </a:pPr>
            <a:endParaRPr lang="ru-RU"/>
          </a:p>
        </c:txPr>
      </c:legendEntry>
      <c:layout>
        <c:manualLayout>
          <c:xMode val="edge"/>
          <c:yMode val="edge"/>
          <c:x val="0.68207024029574859"/>
          <c:y val="0.4061302681992337"/>
          <c:w val="0.30868761552680224"/>
          <c:h val="0.17241379310344829"/>
        </c:manualLayout>
      </c:layout>
      <c:overlay val="0"/>
      <c:txPr>
        <a:bodyPr/>
        <a:lstStyle/>
        <a:p>
          <a:pPr>
            <a:defRPr sz="551" b="0" i="0" u="none" strike="noStrike" baseline="0">
              <a:solidFill>
                <a:srgbClr val="000000"/>
              </a:solidFill>
              <a:latin typeface="Calibri"/>
              <a:ea typeface="Calibri"/>
              <a:cs typeface="Calibri"/>
            </a:defRPr>
          </a:pPr>
          <a:endParaRPr lang="ru-RU"/>
        </a:p>
      </c:txPr>
    </c:legend>
    <c:plotVisOnly val="1"/>
    <c:dispBlanksAs val="gap"/>
    <c:showDLblsOverMax val="0"/>
  </c:chart>
  <c:txPr>
    <a:bodyPr/>
    <a:lstStyle/>
    <a:p>
      <a:pPr>
        <a:defRPr sz="5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Проценты</c:v>
                </c:pt>
              </c:strCache>
            </c:strRef>
          </c:tx>
          <c:marker>
            <c:symbol val="none"/>
          </c:marker>
          <c:dLbls>
            <c:dLbl>
              <c:idx val="0"/>
              <c:layout>
                <c:manualLayout>
                  <c:x val="0"/>
                  <c:y val="2.7777777777777776E-2"/>
                </c:manualLayout>
              </c:layout>
              <c:showLegendKey val="0"/>
              <c:showVal val="1"/>
              <c:showCatName val="0"/>
              <c:showSerName val="0"/>
              <c:showPercent val="0"/>
              <c:showBubbleSize val="0"/>
            </c:dLbl>
            <c:dLbl>
              <c:idx val="1"/>
              <c:layout>
                <c:manualLayout>
                  <c:x val="-1.8518591818751561E-2"/>
                  <c:y val="4.6984076990376225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Лист1!$B$2:$B$4</c:f>
              <c:numCache>
                <c:formatCode>0%</c:formatCode>
                <c:ptCount val="3"/>
                <c:pt idx="0">
                  <c:v>1</c:v>
                </c:pt>
                <c:pt idx="1">
                  <c:v>0.96</c:v>
                </c:pt>
                <c:pt idx="2" formatCode="0.00%">
                  <c:v>0.99</c:v>
                </c:pt>
              </c:numCache>
            </c:numRef>
          </c:val>
          <c:smooth val="0"/>
        </c:ser>
        <c:dLbls>
          <c:showLegendKey val="0"/>
          <c:showVal val="0"/>
          <c:showCatName val="0"/>
          <c:showSerName val="0"/>
          <c:showPercent val="0"/>
          <c:showBubbleSize val="0"/>
        </c:dLbls>
        <c:marker val="1"/>
        <c:smooth val="0"/>
        <c:axId val="134278144"/>
        <c:axId val="133533632"/>
      </c:lineChart>
      <c:catAx>
        <c:axId val="134278144"/>
        <c:scaling>
          <c:orientation val="minMax"/>
        </c:scaling>
        <c:delete val="0"/>
        <c:axPos val="b"/>
        <c:numFmt formatCode="General" sourceLinked="1"/>
        <c:majorTickMark val="out"/>
        <c:minorTickMark val="none"/>
        <c:tickLblPos val="nextTo"/>
        <c:crossAx val="133533632"/>
        <c:crosses val="autoZero"/>
        <c:auto val="1"/>
        <c:lblAlgn val="ctr"/>
        <c:lblOffset val="100"/>
        <c:noMultiLvlLbl val="0"/>
      </c:catAx>
      <c:valAx>
        <c:axId val="133533632"/>
        <c:scaling>
          <c:orientation val="minMax"/>
        </c:scaling>
        <c:delete val="0"/>
        <c:axPos val="l"/>
        <c:majorGridlines/>
        <c:numFmt formatCode="0%" sourceLinked="1"/>
        <c:majorTickMark val="out"/>
        <c:minorTickMark val="none"/>
        <c:tickLblPos val="nextTo"/>
        <c:crossAx val="134278144"/>
        <c:crosses val="autoZero"/>
        <c:crossBetween val="between"/>
      </c:valAx>
      <c:spPr>
        <a:noFill/>
      </c:spPr>
    </c:plotArea>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0.12263494237133402"/>
          <c:y val="5.3441731335929582E-2"/>
          <c:w val="0.58489044847654914"/>
          <c:h val="0.82597269204165369"/>
        </c:manualLayout>
      </c:layout>
      <c:bar3DChart>
        <c:barDir val="col"/>
        <c:grouping val="stacked"/>
        <c:varyColors val="0"/>
        <c:ser>
          <c:idx val="0"/>
          <c:order val="0"/>
          <c:tx>
            <c:strRef>
              <c:f>Лист1!$B$1</c:f>
              <c:strCache>
                <c:ptCount val="1"/>
                <c:pt idx="0">
                  <c:v>До 25</c:v>
                </c:pt>
              </c:strCache>
            </c:strRef>
          </c:tx>
          <c:invertIfNegative val="0"/>
          <c:dLbls>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Лист1!$B$2:$B$4</c:f>
              <c:numCache>
                <c:formatCode>0.00%</c:formatCode>
                <c:ptCount val="3"/>
                <c:pt idx="0">
                  <c:v>4.3999999999999997E-2</c:v>
                </c:pt>
                <c:pt idx="1">
                  <c:v>6.5299999999999997E-2</c:v>
                </c:pt>
                <c:pt idx="2">
                  <c:v>9.1700000000000004E-2</c:v>
                </c:pt>
              </c:numCache>
            </c:numRef>
          </c:val>
        </c:ser>
        <c:ser>
          <c:idx val="1"/>
          <c:order val="1"/>
          <c:tx>
            <c:strRef>
              <c:f>Лист1!$C$1</c:f>
              <c:strCache>
                <c:ptCount val="1"/>
                <c:pt idx="0">
                  <c:v>От 25 до 50</c:v>
                </c:pt>
              </c:strCache>
            </c:strRef>
          </c:tx>
          <c:invertIfNegative val="0"/>
          <c:dLbls>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Лист1!$C$2:$C$4</c:f>
              <c:numCache>
                <c:formatCode>0.00%</c:formatCode>
                <c:ptCount val="3"/>
                <c:pt idx="0">
                  <c:v>0.64800000000000002</c:v>
                </c:pt>
                <c:pt idx="1">
                  <c:v>0.74660000000000004</c:v>
                </c:pt>
                <c:pt idx="2">
                  <c:v>0.73580000000000001</c:v>
                </c:pt>
              </c:numCache>
            </c:numRef>
          </c:val>
        </c:ser>
        <c:ser>
          <c:idx val="2"/>
          <c:order val="2"/>
          <c:tx>
            <c:strRef>
              <c:f>Лист1!$D$1</c:f>
              <c:strCache>
                <c:ptCount val="1"/>
                <c:pt idx="0">
                  <c:v>От 50 до пенсионного возраста</c:v>
                </c:pt>
              </c:strCache>
            </c:strRef>
          </c:tx>
          <c:invertIfNegative val="0"/>
          <c:dLbls>
            <c:dLbl>
              <c:idx val="2"/>
              <c:layout>
                <c:manualLayout>
                  <c:x val="4.830917874396135E-3"/>
                  <c:y val="0"/>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Лист1!$D$2:$D$4</c:f>
              <c:numCache>
                <c:formatCode>0.00%</c:formatCode>
                <c:ptCount val="3"/>
                <c:pt idx="0">
                  <c:v>0.20899999999999999</c:v>
                </c:pt>
                <c:pt idx="1">
                  <c:v>0.1089</c:v>
                </c:pt>
                <c:pt idx="2">
                  <c:v>9.5399999999999999E-2</c:v>
                </c:pt>
              </c:numCache>
            </c:numRef>
          </c:val>
        </c:ser>
        <c:ser>
          <c:idx val="3"/>
          <c:order val="3"/>
          <c:tx>
            <c:strRef>
              <c:f>Лист1!$E$1</c:f>
              <c:strCache>
                <c:ptCount val="1"/>
                <c:pt idx="0">
                  <c:v>Работающие пенсионеры</c:v>
                </c:pt>
              </c:strCache>
            </c:strRef>
          </c:tx>
          <c:invertIfNegative val="0"/>
          <c:dLbls>
            <c:dLbl>
              <c:idx val="1"/>
              <c:layout>
                <c:manualLayout>
                  <c:x val="9.6618357487922701E-3"/>
                  <c:y val="-9.6269554753309269E-3"/>
                </c:manualLayout>
              </c:layout>
              <c:showLegendKey val="0"/>
              <c:showVal val="1"/>
              <c:showCatName val="0"/>
              <c:showSerName val="0"/>
              <c:showPercent val="0"/>
              <c:showBubbleSize val="0"/>
            </c:dLbl>
            <c:dLbl>
              <c:idx val="2"/>
              <c:layout>
                <c:manualLayout>
                  <c:x val="1.4492753623188406E-2"/>
                  <c:y val="-1.9253910950661854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Лист1!$E$2:$E$4</c:f>
              <c:numCache>
                <c:formatCode>0.00%</c:formatCode>
                <c:ptCount val="3"/>
                <c:pt idx="0">
                  <c:v>9.8000000000000004E-2</c:v>
                </c:pt>
                <c:pt idx="1">
                  <c:v>7.9200000000000007E-2</c:v>
                </c:pt>
                <c:pt idx="2">
                  <c:v>7.7100000000000002E-2</c:v>
                </c:pt>
              </c:numCache>
            </c:numRef>
          </c:val>
        </c:ser>
        <c:dLbls>
          <c:showLegendKey val="0"/>
          <c:showVal val="0"/>
          <c:showCatName val="0"/>
          <c:showSerName val="0"/>
          <c:showPercent val="0"/>
          <c:showBubbleSize val="0"/>
        </c:dLbls>
        <c:gapWidth val="150"/>
        <c:shape val="box"/>
        <c:axId val="134585344"/>
        <c:axId val="91118336"/>
        <c:axId val="0"/>
      </c:bar3DChart>
      <c:catAx>
        <c:axId val="134585344"/>
        <c:scaling>
          <c:orientation val="minMax"/>
        </c:scaling>
        <c:delete val="0"/>
        <c:axPos val="b"/>
        <c:numFmt formatCode="General" sourceLinked="1"/>
        <c:majorTickMark val="out"/>
        <c:minorTickMark val="none"/>
        <c:tickLblPos val="nextTo"/>
        <c:crossAx val="91118336"/>
        <c:crosses val="autoZero"/>
        <c:auto val="1"/>
        <c:lblAlgn val="ctr"/>
        <c:lblOffset val="100"/>
        <c:noMultiLvlLbl val="0"/>
      </c:catAx>
      <c:valAx>
        <c:axId val="91118336"/>
        <c:scaling>
          <c:orientation val="minMax"/>
        </c:scaling>
        <c:delete val="0"/>
        <c:axPos val="l"/>
        <c:majorGridlines/>
        <c:numFmt formatCode="0.00%" sourceLinked="1"/>
        <c:majorTickMark val="out"/>
        <c:minorTickMark val="none"/>
        <c:tickLblPos val="nextTo"/>
        <c:crossAx val="134585344"/>
        <c:crosses val="autoZero"/>
        <c:crossBetween val="between"/>
      </c:valAx>
    </c:plotArea>
    <c:legend>
      <c:legendPos val="r"/>
      <c:layout>
        <c:manualLayout>
          <c:xMode val="edge"/>
          <c:yMode val="edge"/>
          <c:x val="0.71235630872227929"/>
          <c:y val="0.20959473928574812"/>
          <c:w val="0.2731509376545323"/>
          <c:h val="0.58081014241450868"/>
        </c:manualLayout>
      </c:layout>
      <c:overlay val="0"/>
    </c:legend>
    <c:plotVisOnly val="1"/>
    <c:dispBlanksAs val="gap"/>
    <c:showDLblsOverMax val="0"/>
  </c:chart>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col"/>
        <c:grouping val="percentStacked"/>
        <c:varyColors val="0"/>
        <c:ser>
          <c:idx val="0"/>
          <c:order val="0"/>
          <c:tx>
            <c:strRef>
              <c:f>Лист1!$B$1</c:f>
              <c:strCache>
                <c:ptCount val="1"/>
                <c:pt idx="0">
                  <c:v>Основное / среднее общее</c:v>
                </c:pt>
              </c:strCache>
            </c:strRef>
          </c:tx>
          <c:invertIfNegative val="0"/>
          <c:dPt>
            <c:idx val="1"/>
            <c:invertIfNegative val="0"/>
            <c:bubble3D val="0"/>
            <c:spPr>
              <a:solidFill>
                <a:srgbClr val="4F81BD"/>
              </a:solidFill>
            </c:spPr>
          </c:dPt>
          <c:dLbls>
            <c:dLbl>
              <c:idx val="0"/>
              <c:tx>
                <c:rich>
                  <a:bodyPr/>
                  <a:lstStyle/>
                  <a:p>
                    <a:r>
                      <a:rPr lang="ru-RU"/>
                      <a:t>8</a:t>
                    </a:r>
                    <a:r>
                      <a:rPr lang="en-US"/>
                      <a:t>,</a:t>
                    </a:r>
                    <a:r>
                      <a:rPr lang="ru-RU"/>
                      <a:t>8</a:t>
                    </a:r>
                    <a:r>
                      <a:rPr lang="en-US"/>
                      <a:t>0</a:t>
                    </a:r>
                    <a:endParaRPr lang="ru-RU"/>
                  </a:p>
                </c:rich>
              </c:tx>
              <c:showLegendKey val="0"/>
              <c:showVal val="1"/>
              <c:showCatName val="0"/>
              <c:showSerName val="0"/>
              <c:showPercent val="0"/>
              <c:showBubbleSize val="0"/>
            </c:dLbl>
            <c:dLbl>
              <c:idx val="1"/>
              <c:tx>
                <c:rich>
                  <a:bodyPr/>
                  <a:lstStyle/>
                  <a:p>
                    <a:r>
                      <a:rPr lang="en-US"/>
                      <a:t>1</a:t>
                    </a:r>
                    <a:r>
                      <a:rPr lang="ru-RU"/>
                      <a:t>0</a:t>
                    </a:r>
                    <a:r>
                      <a:rPr lang="en-US"/>
                      <a:t>,</a:t>
                    </a:r>
                    <a:r>
                      <a:rPr lang="ru-RU"/>
                      <a:t>1</a:t>
                    </a:r>
                    <a:r>
                      <a:rPr lang="en-US"/>
                      <a:t>0</a:t>
                    </a:r>
                  </a:p>
                </c:rich>
              </c:tx>
              <c:showLegendKey val="0"/>
              <c:showVal val="1"/>
              <c:showCatName val="0"/>
              <c:showSerName val="0"/>
              <c:showPercent val="0"/>
              <c:showBubbleSize val="0"/>
            </c:dLbl>
            <c:dLbl>
              <c:idx val="2"/>
              <c:layout>
                <c:manualLayout>
                  <c:x val="0"/>
                  <c:y val="1.8979833926453145E-2"/>
                </c:manualLayout>
              </c:layout>
              <c:tx>
                <c:rich>
                  <a:bodyPr/>
                  <a:lstStyle/>
                  <a:p>
                    <a:r>
                      <a:rPr lang="en-US"/>
                      <a:t>10.64</a:t>
                    </a:r>
                  </a:p>
                </c:rich>
              </c:tx>
              <c:showLegendKey val="0"/>
              <c:showVal val="1"/>
              <c:showCatName val="0"/>
              <c:showSerName val="0"/>
              <c:showPercent val="0"/>
              <c:showBubbleSize val="0"/>
            </c:dLbl>
            <c:spPr>
              <a:noFill/>
              <a:ln w="33602">
                <a:noFill/>
              </a:ln>
            </c:spPr>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Лист1!$B$2:$B$4</c:f>
              <c:numCache>
                <c:formatCode>0.00%</c:formatCode>
                <c:ptCount val="3"/>
                <c:pt idx="0">
                  <c:v>8.7999999999999995E-2</c:v>
                </c:pt>
                <c:pt idx="1">
                  <c:v>0.10100000000000001</c:v>
                </c:pt>
                <c:pt idx="2">
                  <c:v>0.10639999999999999</c:v>
                </c:pt>
              </c:numCache>
            </c:numRef>
          </c:val>
        </c:ser>
        <c:ser>
          <c:idx val="1"/>
          <c:order val="1"/>
          <c:tx>
            <c:strRef>
              <c:f>Лист1!$C$1</c:f>
              <c:strCache>
                <c:ptCount val="1"/>
                <c:pt idx="0">
                  <c:v>Начальное профессиональное</c:v>
                </c:pt>
              </c:strCache>
            </c:strRef>
          </c:tx>
          <c:spPr>
            <a:solidFill>
              <a:srgbClr val="C0504D"/>
            </a:solidFill>
          </c:spPr>
          <c:invertIfNegative val="0"/>
          <c:dLbls>
            <c:dLbl>
              <c:idx val="1"/>
              <c:layout>
                <c:manualLayout>
                  <c:x val="-2.5600000000000001E-2"/>
                  <c:y val="-2.0576131687242798E-2"/>
                </c:manualLayout>
              </c:layout>
              <c:showLegendKey val="0"/>
              <c:showVal val="1"/>
              <c:showCatName val="0"/>
              <c:showSerName val="0"/>
              <c:showPercent val="0"/>
              <c:showBubbleSize val="0"/>
            </c:dLbl>
            <c:dLbl>
              <c:idx val="2"/>
              <c:layout>
                <c:manualLayout>
                  <c:x val="7.0977353792314415E-2"/>
                  <c:y val="-2.557584326726961E-2"/>
                </c:manualLayout>
              </c:layout>
              <c:showLegendKey val="0"/>
              <c:showVal val="1"/>
              <c:showCatName val="0"/>
              <c:showSerName val="0"/>
              <c:showPercent val="0"/>
              <c:showBubbleSize val="0"/>
            </c:dLbl>
            <c:spPr>
              <a:noFill/>
              <a:ln w="33602">
                <a:noFill/>
              </a:ln>
            </c:spPr>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Лист1!$C$2:$C$4</c:f>
              <c:numCache>
                <c:formatCode>General</c:formatCode>
                <c:ptCount val="3"/>
              </c:numCache>
            </c:numRef>
          </c:val>
        </c:ser>
        <c:ser>
          <c:idx val="2"/>
          <c:order val="2"/>
          <c:tx>
            <c:strRef>
              <c:f>Лист1!$D$1</c:f>
              <c:strCache>
                <c:ptCount val="1"/>
                <c:pt idx="0">
                  <c:v>Среднее профессиональное</c:v>
                </c:pt>
              </c:strCache>
            </c:strRef>
          </c:tx>
          <c:spPr>
            <a:solidFill>
              <a:srgbClr val="9BBB59"/>
            </a:solidFill>
          </c:spPr>
          <c:invertIfNegative val="0"/>
          <c:dLbls>
            <c:dLbl>
              <c:idx val="0"/>
              <c:tx>
                <c:rich>
                  <a:bodyPr/>
                  <a:lstStyle/>
                  <a:p>
                    <a:r>
                      <a:rPr lang="en-US"/>
                      <a:t>1</a:t>
                    </a:r>
                    <a:r>
                      <a:rPr lang="ru-RU"/>
                      <a:t>3</a:t>
                    </a:r>
                    <a:r>
                      <a:rPr lang="en-US"/>
                      <a:t>,</a:t>
                    </a:r>
                    <a:r>
                      <a:rPr lang="ru-RU"/>
                      <a:t>2</a:t>
                    </a:r>
                    <a:r>
                      <a:rPr lang="en-US"/>
                      <a:t>0</a:t>
                    </a:r>
                  </a:p>
                </c:rich>
              </c:tx>
              <c:showLegendKey val="0"/>
              <c:showVal val="1"/>
              <c:showCatName val="0"/>
              <c:showSerName val="0"/>
              <c:showPercent val="0"/>
              <c:showBubbleSize val="0"/>
            </c:dLbl>
            <c:dLbl>
              <c:idx val="1"/>
              <c:tx>
                <c:rich>
                  <a:bodyPr/>
                  <a:lstStyle/>
                  <a:p>
                    <a:r>
                      <a:rPr lang="ru-RU"/>
                      <a:t>23</a:t>
                    </a:r>
                    <a:r>
                      <a:rPr lang="en-US"/>
                      <a:t>,</a:t>
                    </a:r>
                    <a:r>
                      <a:rPr lang="ru-RU"/>
                      <a:t>4</a:t>
                    </a:r>
                    <a:r>
                      <a:rPr lang="en-US"/>
                      <a:t>0</a:t>
                    </a:r>
                  </a:p>
                </c:rich>
              </c:tx>
              <c:showLegendKey val="0"/>
              <c:showVal val="1"/>
              <c:showCatName val="0"/>
              <c:showSerName val="0"/>
              <c:showPercent val="0"/>
              <c:showBubbleSize val="0"/>
            </c:dLbl>
            <c:dLbl>
              <c:idx val="2"/>
              <c:tx>
                <c:rich>
                  <a:bodyPr/>
                  <a:lstStyle/>
                  <a:p>
                    <a:r>
                      <a:rPr lang="en-US"/>
                      <a:t>22.94</a:t>
                    </a:r>
                  </a:p>
                </c:rich>
              </c:tx>
              <c:showLegendKey val="0"/>
              <c:showVal val="1"/>
              <c:showCatName val="0"/>
              <c:showSerName val="0"/>
              <c:showPercent val="0"/>
              <c:showBubbleSize val="0"/>
            </c:dLbl>
            <c:spPr>
              <a:noFill/>
              <a:ln w="33602">
                <a:noFill/>
              </a:ln>
            </c:spPr>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Лист1!$D$2:$D$4</c:f>
              <c:numCache>
                <c:formatCode>0.00%</c:formatCode>
                <c:ptCount val="3"/>
                <c:pt idx="0">
                  <c:v>0.13200000000000001</c:v>
                </c:pt>
                <c:pt idx="1">
                  <c:v>0.23400000000000001</c:v>
                </c:pt>
                <c:pt idx="2">
                  <c:v>0.22939999999999999</c:v>
                </c:pt>
              </c:numCache>
            </c:numRef>
          </c:val>
        </c:ser>
        <c:ser>
          <c:idx val="3"/>
          <c:order val="3"/>
          <c:tx>
            <c:strRef>
              <c:f>Лист1!$E$1</c:f>
              <c:strCache>
                <c:ptCount val="1"/>
                <c:pt idx="0">
                  <c:v>Неполное высшее</c:v>
                </c:pt>
              </c:strCache>
            </c:strRef>
          </c:tx>
          <c:spPr>
            <a:solidFill>
              <a:srgbClr val="9BBB59">
                <a:lumMod val="50000"/>
              </a:srgbClr>
            </a:solidFill>
          </c:spPr>
          <c:invertIfNegative val="0"/>
          <c:dLbls>
            <c:dLbl>
              <c:idx val="2"/>
              <c:tx>
                <c:rich>
                  <a:bodyPr/>
                  <a:lstStyle/>
                  <a:p>
                    <a:r>
                      <a:rPr lang="en-US"/>
                      <a:t>0.92</a:t>
                    </a:r>
                  </a:p>
                </c:rich>
              </c:tx>
              <c:showLegendKey val="0"/>
              <c:showVal val="1"/>
              <c:showCatName val="0"/>
              <c:showSerName val="0"/>
              <c:showPercent val="0"/>
              <c:showBubbleSize val="0"/>
            </c:dLbl>
            <c:spPr>
              <a:noFill/>
              <a:ln w="33602">
                <a:noFill/>
              </a:ln>
            </c:spPr>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Лист1!$E$2:$E$4</c:f>
              <c:numCache>
                <c:formatCode>General</c:formatCode>
                <c:ptCount val="3"/>
                <c:pt idx="2" formatCode="0.00%">
                  <c:v>9.1999999999999998E-3</c:v>
                </c:pt>
              </c:numCache>
            </c:numRef>
          </c:val>
        </c:ser>
        <c:ser>
          <c:idx val="4"/>
          <c:order val="4"/>
          <c:tx>
            <c:strRef>
              <c:f>Лист1!$F$1</c:f>
              <c:strCache>
                <c:ptCount val="1"/>
                <c:pt idx="0">
                  <c:v>Высшее профессиональное</c:v>
                </c:pt>
              </c:strCache>
            </c:strRef>
          </c:tx>
          <c:spPr>
            <a:solidFill>
              <a:srgbClr val="8064A2"/>
            </a:solidFill>
          </c:spPr>
          <c:invertIfNegative val="0"/>
          <c:dLbls>
            <c:dLbl>
              <c:idx val="0"/>
              <c:tx>
                <c:rich>
                  <a:bodyPr/>
                  <a:lstStyle/>
                  <a:p>
                    <a:r>
                      <a:rPr lang="ru-RU"/>
                      <a:t>66</a:t>
                    </a:r>
                    <a:r>
                      <a:rPr lang="en-US"/>
                      <a:t>,</a:t>
                    </a:r>
                    <a:r>
                      <a:rPr lang="ru-RU"/>
                      <a:t>8</a:t>
                    </a:r>
                    <a:r>
                      <a:rPr lang="en-US"/>
                      <a:t>0</a:t>
                    </a:r>
                  </a:p>
                </c:rich>
              </c:tx>
              <c:showLegendKey val="0"/>
              <c:showVal val="1"/>
              <c:showCatName val="0"/>
              <c:showSerName val="0"/>
              <c:showPercent val="0"/>
              <c:showBubbleSize val="0"/>
            </c:dLbl>
            <c:dLbl>
              <c:idx val="1"/>
              <c:tx>
                <c:rich>
                  <a:bodyPr/>
                  <a:lstStyle/>
                  <a:p>
                    <a:r>
                      <a:rPr lang="ru-RU"/>
                      <a:t>5</a:t>
                    </a:r>
                    <a:r>
                      <a:rPr lang="en-US"/>
                      <a:t>7,</a:t>
                    </a:r>
                    <a:r>
                      <a:rPr lang="ru-RU"/>
                      <a:t>6</a:t>
                    </a:r>
                    <a:r>
                      <a:rPr lang="en-US"/>
                      <a:t>0</a:t>
                    </a:r>
                  </a:p>
                </c:rich>
              </c:tx>
              <c:showLegendKey val="0"/>
              <c:showVal val="1"/>
              <c:showCatName val="0"/>
              <c:showSerName val="0"/>
              <c:showPercent val="0"/>
              <c:showBubbleSize val="0"/>
            </c:dLbl>
            <c:dLbl>
              <c:idx val="2"/>
              <c:tx>
                <c:rich>
                  <a:bodyPr/>
                  <a:lstStyle/>
                  <a:p>
                    <a:pPr>
                      <a:defRPr/>
                    </a:pPr>
                    <a:r>
                      <a:rPr lang="ru-RU"/>
                      <a:t>59,47</a:t>
                    </a:r>
                  </a:p>
                </c:rich>
              </c:tx>
              <c:spPr>
                <a:noFill/>
                <a:ln w="33602">
                  <a:noFill/>
                </a:ln>
              </c:spPr>
              <c:showLegendKey val="0"/>
              <c:showVal val="0"/>
              <c:showCatName val="0"/>
              <c:showSerName val="0"/>
              <c:showPercent val="0"/>
              <c:showBubbleSize val="0"/>
            </c:dLbl>
            <c:spPr>
              <a:noFill/>
              <a:ln w="33602">
                <a:noFill/>
              </a:ln>
            </c:spPr>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Лист1!$F$2:$F$4</c:f>
              <c:numCache>
                <c:formatCode>0.00%</c:formatCode>
                <c:ptCount val="3"/>
                <c:pt idx="0">
                  <c:v>0.66800000000000004</c:v>
                </c:pt>
                <c:pt idx="1">
                  <c:v>0.57599999999999996</c:v>
                </c:pt>
                <c:pt idx="2">
                  <c:v>0.59470000000000001</c:v>
                </c:pt>
              </c:numCache>
            </c:numRef>
          </c:val>
        </c:ser>
        <c:ser>
          <c:idx val="5"/>
          <c:order val="5"/>
          <c:tx>
            <c:strRef>
              <c:f>Лист1!$G$1</c:f>
              <c:strCache>
                <c:ptCount val="1"/>
                <c:pt idx="0">
                  <c:v>Два и более высших профессиональных</c:v>
                </c:pt>
              </c:strCache>
            </c:strRef>
          </c:tx>
          <c:spPr>
            <a:solidFill>
              <a:srgbClr val="4BACC6"/>
            </a:solidFill>
          </c:spPr>
          <c:invertIfNegative val="0"/>
          <c:dLbls>
            <c:dLbl>
              <c:idx val="0"/>
              <c:tx>
                <c:rich>
                  <a:bodyPr/>
                  <a:lstStyle/>
                  <a:p>
                    <a:r>
                      <a:rPr lang="ru-RU"/>
                      <a:t>10</a:t>
                    </a:r>
                    <a:r>
                      <a:rPr lang="en-US"/>
                      <a:t>,</a:t>
                    </a:r>
                    <a:r>
                      <a:rPr lang="ru-RU"/>
                      <a:t>7</a:t>
                    </a:r>
                    <a:r>
                      <a:rPr lang="en-US"/>
                      <a:t>0</a:t>
                    </a:r>
                  </a:p>
                </c:rich>
              </c:tx>
              <c:showLegendKey val="0"/>
              <c:showVal val="1"/>
              <c:showCatName val="0"/>
              <c:showSerName val="0"/>
              <c:showPercent val="0"/>
              <c:showBubbleSize val="0"/>
            </c:dLbl>
            <c:dLbl>
              <c:idx val="1"/>
              <c:layout>
                <c:manualLayout>
                  <c:x val="0"/>
                  <c:y val="0"/>
                </c:manualLayout>
              </c:layout>
              <c:tx>
                <c:rich>
                  <a:bodyPr/>
                  <a:lstStyle/>
                  <a:p>
                    <a:r>
                      <a:rPr lang="ru-RU"/>
                      <a:t>8</a:t>
                    </a:r>
                    <a:r>
                      <a:rPr lang="en-US"/>
                      <a:t>,</a:t>
                    </a:r>
                    <a:r>
                      <a:rPr lang="ru-RU"/>
                      <a:t>3</a:t>
                    </a:r>
                    <a:r>
                      <a:rPr lang="en-US"/>
                      <a:t>0</a:t>
                    </a:r>
                  </a:p>
                </c:rich>
              </c:tx>
              <c:showLegendKey val="0"/>
              <c:showVal val="1"/>
              <c:showCatName val="0"/>
              <c:showSerName val="0"/>
              <c:showPercent val="0"/>
              <c:showBubbleSize val="0"/>
            </c:dLbl>
            <c:dLbl>
              <c:idx val="2"/>
              <c:tx>
                <c:rich>
                  <a:bodyPr/>
                  <a:lstStyle/>
                  <a:p>
                    <a:r>
                      <a:rPr lang="en-US"/>
                      <a:t>5.73</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Лист1!$G$2:$G$4</c:f>
              <c:numCache>
                <c:formatCode>0.00%</c:formatCode>
                <c:ptCount val="3"/>
                <c:pt idx="0">
                  <c:v>0.107</c:v>
                </c:pt>
                <c:pt idx="1">
                  <c:v>8.3000000000000004E-2</c:v>
                </c:pt>
                <c:pt idx="2">
                  <c:v>5.7299999999999997E-2</c:v>
                </c:pt>
              </c:numCache>
            </c:numRef>
          </c:val>
        </c:ser>
        <c:ser>
          <c:idx val="6"/>
          <c:order val="6"/>
          <c:tx>
            <c:strRef>
              <c:f>Лист1!$H$1</c:f>
              <c:strCache>
                <c:ptCount val="1"/>
                <c:pt idx="0">
                  <c:v>Ученая степень кандидата наук</c:v>
                </c:pt>
              </c:strCache>
            </c:strRef>
          </c:tx>
          <c:spPr>
            <a:solidFill>
              <a:srgbClr val="F79646"/>
            </a:solidFill>
          </c:spPr>
          <c:invertIfNegative val="0"/>
          <c:dLbls>
            <c:dLbl>
              <c:idx val="0"/>
              <c:layout>
                <c:manualLayout>
                  <c:x val="1.3377926421404682E-2"/>
                  <c:y val="-3.3214709371292998E-2"/>
                </c:manualLayout>
              </c:layout>
              <c:tx>
                <c:rich>
                  <a:bodyPr/>
                  <a:lstStyle/>
                  <a:p>
                    <a:r>
                      <a:rPr lang="en-US"/>
                      <a:t>0.50</a:t>
                    </a:r>
                  </a:p>
                </c:rich>
              </c:tx>
              <c:showLegendKey val="0"/>
              <c:showVal val="1"/>
              <c:showCatName val="0"/>
              <c:showSerName val="0"/>
              <c:showPercent val="0"/>
              <c:showBubbleSize val="0"/>
            </c:dLbl>
            <c:dLbl>
              <c:idx val="1"/>
              <c:layout>
                <c:manualLayout>
                  <c:x val="1.1148272017837236E-2"/>
                  <c:y val="-2.8469750889679714E-2"/>
                </c:manualLayout>
              </c:layout>
              <c:tx>
                <c:rich>
                  <a:bodyPr/>
                  <a:lstStyle/>
                  <a:p>
                    <a:r>
                      <a:rPr lang="en-US"/>
                      <a:t>0,</a:t>
                    </a:r>
                    <a:r>
                      <a:rPr lang="ru-RU"/>
                      <a:t>6</a:t>
                    </a:r>
                    <a:r>
                      <a:rPr lang="en-US"/>
                      <a:t>0</a:t>
                    </a:r>
                  </a:p>
                </c:rich>
              </c:tx>
              <c:showLegendKey val="0"/>
              <c:showVal val="1"/>
              <c:showCatName val="0"/>
              <c:showSerName val="0"/>
              <c:showPercent val="0"/>
              <c:showBubbleSize val="0"/>
            </c:dLbl>
            <c:dLbl>
              <c:idx val="2"/>
              <c:layout>
                <c:manualLayout>
                  <c:x val="6.688963210702341E-3"/>
                  <c:y val="-2.8469750889679714E-2"/>
                </c:manualLayout>
              </c:layout>
              <c:tx>
                <c:rich>
                  <a:bodyPr/>
                  <a:lstStyle/>
                  <a:p>
                    <a:r>
                      <a:rPr lang="en-US"/>
                      <a:t>0.30</a:t>
                    </a:r>
                  </a:p>
                </c:rich>
              </c:tx>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2012</c:v>
                </c:pt>
                <c:pt idx="1">
                  <c:v>2013</c:v>
                </c:pt>
                <c:pt idx="2">
                  <c:v>2014</c:v>
                </c:pt>
              </c:numCache>
            </c:numRef>
          </c:cat>
          <c:val>
            <c:numRef>
              <c:f>Лист1!$H$2:$H$4</c:f>
              <c:numCache>
                <c:formatCode>0.00%</c:formatCode>
                <c:ptCount val="3"/>
                <c:pt idx="0">
                  <c:v>5.0000000000000001E-3</c:v>
                </c:pt>
                <c:pt idx="1">
                  <c:v>6.0000000000000001E-3</c:v>
                </c:pt>
                <c:pt idx="2">
                  <c:v>3.0000000000000001E-3</c:v>
                </c:pt>
              </c:numCache>
            </c:numRef>
          </c:val>
        </c:ser>
        <c:dLbls>
          <c:showLegendKey val="0"/>
          <c:showVal val="0"/>
          <c:showCatName val="0"/>
          <c:showSerName val="0"/>
          <c:showPercent val="0"/>
          <c:showBubbleSize val="0"/>
        </c:dLbls>
        <c:gapWidth val="150"/>
        <c:shape val="box"/>
        <c:axId val="134582784"/>
        <c:axId val="133536512"/>
        <c:axId val="0"/>
      </c:bar3DChart>
      <c:catAx>
        <c:axId val="134582784"/>
        <c:scaling>
          <c:orientation val="minMax"/>
        </c:scaling>
        <c:delete val="0"/>
        <c:axPos val="b"/>
        <c:numFmt formatCode="General" sourceLinked="1"/>
        <c:majorTickMark val="out"/>
        <c:minorTickMark val="none"/>
        <c:tickLblPos val="nextTo"/>
        <c:crossAx val="133536512"/>
        <c:crosses val="autoZero"/>
        <c:auto val="1"/>
        <c:lblAlgn val="ctr"/>
        <c:lblOffset val="100"/>
        <c:noMultiLvlLbl val="0"/>
      </c:catAx>
      <c:valAx>
        <c:axId val="133536512"/>
        <c:scaling>
          <c:orientation val="minMax"/>
        </c:scaling>
        <c:delete val="0"/>
        <c:axPos val="l"/>
        <c:majorGridlines/>
        <c:numFmt formatCode="0%" sourceLinked="1"/>
        <c:majorTickMark val="out"/>
        <c:minorTickMark val="none"/>
        <c:tickLblPos val="nextTo"/>
        <c:crossAx val="134582784"/>
        <c:crosses val="autoZero"/>
        <c:crossBetween val="between"/>
      </c:valAx>
      <c:spPr>
        <a:noFill/>
        <a:ln w="33602">
          <a:noFill/>
        </a:ln>
      </c:spPr>
    </c:plotArea>
    <c:legend>
      <c:legendPos val="r"/>
      <c:layout>
        <c:manualLayout>
          <c:xMode val="edge"/>
          <c:yMode val="edge"/>
          <c:x val="0.65017070126946941"/>
          <c:y val="0.11111106797609059"/>
          <c:w val="0.34328759908355944"/>
          <c:h val="0.8888887643492962"/>
        </c:manualLayout>
      </c:layout>
      <c:overlay val="0"/>
    </c:legend>
    <c:plotVisOnly val="1"/>
    <c:dispBlanksAs val="gap"/>
    <c:showDLblsOverMax val="0"/>
  </c:chart>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0" i="0" baseline="0"/>
            </a:pPr>
            <a:r>
              <a:rPr lang="ru-RU" sz="1100" b="0" i="0" baseline="0"/>
              <a:t>доля работников, прошедших обучение, %</a:t>
            </a:r>
          </a:p>
        </c:rich>
      </c:tx>
      <c:overlay val="0"/>
    </c:title>
    <c:autoTitleDeleted val="0"/>
    <c:plotArea>
      <c:layout/>
      <c:barChart>
        <c:barDir val="col"/>
        <c:grouping val="stacked"/>
        <c:varyColors val="0"/>
        <c:ser>
          <c:idx val="0"/>
          <c:order val="0"/>
          <c:tx>
            <c:strRef>
              <c:f>Лист1!$B$1</c:f>
              <c:strCache>
                <c:ptCount val="1"/>
                <c:pt idx="0">
                  <c:v>доля работников, прошедших обучение, %</c:v>
                </c:pt>
              </c:strCache>
            </c:strRef>
          </c:tx>
          <c:spPr>
            <a:solidFill>
              <a:srgbClr val="9999FF"/>
            </a:solidFill>
            <a:ln>
              <a:solidFill>
                <a:sysClr val="windowText" lastClr="000000"/>
              </a:solidFill>
            </a:ln>
          </c:spPr>
          <c:invertIfNegative val="0"/>
          <c:dLbls>
            <c:txPr>
              <a:bodyPr/>
              <a:lstStyle/>
              <a:p>
                <a:pPr>
                  <a:defRPr sz="1100" baseline="0"/>
                </a:pPr>
                <a:endParaRPr lang="ru-RU"/>
              </a:p>
            </c:txPr>
            <c:showLegendKey val="0"/>
            <c:showVal val="1"/>
            <c:showCatName val="0"/>
            <c:showSerName val="0"/>
            <c:showPercent val="0"/>
            <c:showBubbleSize val="0"/>
            <c:showLeaderLines val="0"/>
          </c:dLbls>
          <c:cat>
            <c:strRef>
              <c:f>Лист1!$A$2:$A$3</c:f>
              <c:strCache>
                <c:ptCount val="2"/>
                <c:pt idx="0">
                  <c:v>исполнительный аппарат</c:v>
                </c:pt>
                <c:pt idx="1">
                  <c:v>энергосбытовые отделения</c:v>
                </c:pt>
              </c:strCache>
            </c:strRef>
          </c:cat>
          <c:val>
            <c:numRef>
              <c:f>Лист1!$B$2:$B$3</c:f>
              <c:numCache>
                <c:formatCode>General</c:formatCode>
                <c:ptCount val="2"/>
                <c:pt idx="0">
                  <c:v>3.96</c:v>
                </c:pt>
                <c:pt idx="1">
                  <c:v>1.76</c:v>
                </c:pt>
              </c:numCache>
            </c:numRef>
          </c:val>
        </c:ser>
        <c:dLbls>
          <c:showLegendKey val="0"/>
          <c:showVal val="0"/>
          <c:showCatName val="0"/>
          <c:showSerName val="0"/>
          <c:showPercent val="0"/>
          <c:showBubbleSize val="0"/>
        </c:dLbls>
        <c:gapWidth val="150"/>
        <c:overlap val="100"/>
        <c:axId val="134864896"/>
        <c:axId val="135422528"/>
      </c:barChart>
      <c:catAx>
        <c:axId val="134864896"/>
        <c:scaling>
          <c:orientation val="minMax"/>
        </c:scaling>
        <c:delete val="0"/>
        <c:axPos val="b"/>
        <c:majorTickMark val="out"/>
        <c:minorTickMark val="none"/>
        <c:tickLblPos val="nextTo"/>
        <c:txPr>
          <a:bodyPr/>
          <a:lstStyle/>
          <a:p>
            <a:pPr>
              <a:defRPr sz="1100" baseline="0"/>
            </a:pPr>
            <a:endParaRPr lang="ru-RU"/>
          </a:p>
        </c:txPr>
        <c:crossAx val="135422528"/>
        <c:crosses val="autoZero"/>
        <c:auto val="1"/>
        <c:lblAlgn val="ctr"/>
        <c:lblOffset val="100"/>
        <c:noMultiLvlLbl val="0"/>
      </c:catAx>
      <c:valAx>
        <c:axId val="135422528"/>
        <c:scaling>
          <c:orientation val="minMax"/>
          <c:max val="4"/>
        </c:scaling>
        <c:delete val="0"/>
        <c:axPos val="l"/>
        <c:majorGridlines/>
        <c:numFmt formatCode="General" sourceLinked="1"/>
        <c:majorTickMark val="out"/>
        <c:minorTickMark val="none"/>
        <c:tickLblPos val="nextTo"/>
        <c:spPr>
          <a:ln>
            <a:solidFill>
              <a:sysClr val="windowText" lastClr="000000"/>
            </a:solidFill>
          </a:ln>
        </c:spPr>
        <c:txPr>
          <a:bodyPr/>
          <a:lstStyle/>
          <a:p>
            <a:pPr>
              <a:defRPr sz="1100" baseline="0"/>
            </a:pPr>
            <a:endParaRPr lang="ru-RU"/>
          </a:p>
        </c:txPr>
        <c:crossAx val="134864896"/>
        <c:crosses val="autoZero"/>
        <c:crossBetween val="between"/>
      </c:valAx>
      <c:spPr>
        <a:solidFill>
          <a:sysClr val="window" lastClr="FFFFFF">
            <a:lumMod val="65000"/>
          </a:sysClr>
        </a:solidFill>
      </c:spPr>
    </c:plotArea>
    <c:legend>
      <c:legendPos val="b"/>
      <c:overlay val="0"/>
      <c:txPr>
        <a:bodyPr/>
        <a:lstStyle/>
        <a:p>
          <a:pPr>
            <a:defRPr sz="1100" baseline="0"/>
          </a:pPr>
          <a:endParaRPr lang="ru-RU"/>
        </a:p>
      </c:txPr>
    </c:legend>
    <c:plotVisOnly val="1"/>
    <c:dispBlanksAs val="gap"/>
    <c:showDLblsOverMax val="0"/>
  </c:chart>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Лист1!$B$1</c:f>
              <c:strCache>
                <c:ptCount val="1"/>
                <c:pt idx="0">
                  <c:v>Доля работников</c:v>
                </c:pt>
              </c:strCache>
            </c:strRef>
          </c:tx>
          <c:dPt>
            <c:idx val="0"/>
            <c:bubble3D val="0"/>
          </c:dPt>
          <c:dPt>
            <c:idx val="1"/>
            <c:bubble3D val="0"/>
            <c:spPr>
              <a:solidFill>
                <a:schemeClr val="accent3"/>
              </a:solidFill>
              <a:ln>
                <a:solidFill>
                  <a:schemeClr val="accent3"/>
                </a:solidFill>
              </a:ln>
            </c:spPr>
          </c:dPt>
          <c:dPt>
            <c:idx val="2"/>
            <c:bubble3D val="0"/>
            <c:spPr>
              <a:solidFill>
                <a:schemeClr val="accent2"/>
              </a:solidFill>
            </c:spPr>
          </c:dPt>
          <c:dLbls>
            <c:dLbl>
              <c:idx val="0"/>
              <c:layout>
                <c:manualLayout>
                  <c:x val="4.2277631962671335E-2"/>
                  <c:y val="6.144617799646318E-2"/>
                </c:manualLayout>
              </c:layout>
              <c:tx>
                <c:rich>
                  <a:bodyPr/>
                  <a:lstStyle/>
                  <a:p>
                    <a:pPr>
                      <a:defRPr/>
                    </a:pPr>
                    <a:r>
                      <a:rPr lang="ru-RU"/>
                      <a:t>Руководители</a:t>
                    </a:r>
                  </a:p>
                  <a:p>
                    <a:pPr>
                      <a:defRPr/>
                    </a:pPr>
                    <a:r>
                      <a:rPr lang="ru-RU"/>
                      <a:t>45,00</a:t>
                    </a:r>
                    <a:r>
                      <a:rPr lang="en-US"/>
                      <a:t>%</a:t>
                    </a:r>
                  </a:p>
                </c:rich>
              </c:tx>
              <c:numFmt formatCode="0.00%" sourceLinked="0"/>
              <c:spPr/>
              <c:dLblPos val="bestFit"/>
              <c:showLegendKey val="0"/>
              <c:showVal val="0"/>
              <c:showCatName val="0"/>
              <c:showSerName val="0"/>
              <c:showPercent val="0"/>
              <c:showBubbleSize val="0"/>
            </c:dLbl>
            <c:dLbl>
              <c:idx val="1"/>
              <c:layout>
                <c:manualLayout>
                  <c:x val="-7.8597247587397556E-2"/>
                  <c:y val="-4.695569680295987E-2"/>
                </c:manualLayout>
              </c:layout>
              <c:tx>
                <c:rich>
                  <a:bodyPr/>
                  <a:lstStyle/>
                  <a:p>
                    <a:pPr>
                      <a:defRPr/>
                    </a:pPr>
                    <a:r>
                      <a:rPr lang="ru-RU"/>
                      <a:t>Рабочие</a:t>
                    </a:r>
                  </a:p>
                  <a:p>
                    <a:pPr>
                      <a:defRPr/>
                    </a:pPr>
                    <a:r>
                      <a:rPr lang="ru-RU"/>
                      <a:t>22,00</a:t>
                    </a:r>
                    <a:r>
                      <a:rPr lang="en-US"/>
                      <a:t>%</a:t>
                    </a:r>
                  </a:p>
                </c:rich>
              </c:tx>
              <c:numFmt formatCode="0.00%" sourceLinked="0"/>
              <c:spPr/>
              <c:dLblPos val="bestFit"/>
              <c:showLegendKey val="0"/>
              <c:showVal val="0"/>
              <c:showCatName val="0"/>
              <c:showSerName val="0"/>
              <c:showPercent val="0"/>
              <c:showBubbleSize val="0"/>
            </c:dLbl>
            <c:dLbl>
              <c:idx val="2"/>
              <c:layout>
                <c:manualLayout>
                  <c:x val="-3.5898221055701368E-2"/>
                  <c:y val="4.710152271442377E-2"/>
                </c:manualLayout>
              </c:layout>
              <c:tx>
                <c:rich>
                  <a:bodyPr/>
                  <a:lstStyle/>
                  <a:p>
                    <a:pPr>
                      <a:defRPr/>
                    </a:pPr>
                    <a:r>
                      <a:rPr lang="ru-RU"/>
                      <a:t>Специалисты</a:t>
                    </a:r>
                  </a:p>
                  <a:p>
                    <a:pPr>
                      <a:defRPr/>
                    </a:pPr>
                    <a:r>
                      <a:rPr lang="ru-RU"/>
                      <a:t>33,00</a:t>
                    </a:r>
                    <a:r>
                      <a:rPr lang="en-US"/>
                      <a:t>%</a:t>
                    </a:r>
                  </a:p>
                </c:rich>
              </c:tx>
              <c:numFmt formatCode="0.00%" sourceLinked="0"/>
              <c:spPr/>
              <c:dLblPos val="bestFit"/>
              <c:showLegendKey val="0"/>
              <c:showVal val="0"/>
              <c:showCatName val="0"/>
              <c:showSerName val="0"/>
              <c:showPercent val="0"/>
              <c:showBubbleSize val="0"/>
            </c:dLbl>
            <c:numFmt formatCode="0.00%" sourceLinked="0"/>
            <c:showLegendKey val="0"/>
            <c:showVal val="1"/>
            <c:showCatName val="0"/>
            <c:showSerName val="0"/>
            <c:showPercent val="0"/>
            <c:showBubbleSize val="0"/>
            <c:showLeaderLines val="0"/>
          </c:dLbls>
          <c:cat>
            <c:strRef>
              <c:f>Лист1!$A$2:$A$4</c:f>
              <c:strCache>
                <c:ptCount val="3"/>
                <c:pt idx="0">
                  <c:v>Руководители</c:v>
                </c:pt>
                <c:pt idx="1">
                  <c:v>Рабочие</c:v>
                </c:pt>
                <c:pt idx="2">
                  <c:v>Специалисты</c:v>
                </c:pt>
              </c:strCache>
            </c:strRef>
          </c:cat>
          <c:val>
            <c:numRef>
              <c:f>Лист1!$B$2:$B$4</c:f>
              <c:numCache>
                <c:formatCode>General</c:formatCode>
                <c:ptCount val="3"/>
                <c:pt idx="0">
                  <c:v>45</c:v>
                </c:pt>
                <c:pt idx="1">
                  <c:v>22</c:v>
                </c:pt>
                <c:pt idx="2">
                  <c:v>33</c:v>
                </c:pt>
              </c:numCache>
            </c:numRef>
          </c:val>
        </c:ser>
        <c:dLbls>
          <c:showLegendKey val="0"/>
          <c:showVal val="0"/>
          <c:showCatName val="0"/>
          <c:showSerName val="0"/>
          <c:showPercent val="0"/>
          <c:showBubbleSize val="0"/>
          <c:showLeaderLines val="0"/>
        </c:dLbls>
        <c:firstSliceAng val="0"/>
      </c:pieChart>
      <c:spPr>
        <a:noFill/>
        <a:ln w="33602">
          <a:noFill/>
        </a:ln>
      </c:spPr>
    </c:plotArea>
    <c:legend>
      <c:legendPos val="r"/>
      <c:overlay val="0"/>
    </c:legend>
    <c:plotVisOnly val="1"/>
    <c:dispBlanksAs val="gap"/>
    <c:showDLblsOverMax val="0"/>
  </c:chart>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hPercent val="42"/>
      <c:rotY val="20"/>
      <c:depthPercent val="100"/>
      <c:rAngAx val="1"/>
    </c:view3D>
    <c:floor>
      <c:thickness val="0"/>
      <c:spPr>
        <a:solidFill>
          <a:srgbClr val="C0C0C0"/>
        </a:solidFill>
        <a:ln w="3175">
          <a:solidFill>
            <a:srgbClr val="000000"/>
          </a:solidFill>
          <a:prstDash val="solid"/>
        </a:ln>
      </c:spPr>
    </c:floor>
    <c:sideWall>
      <c:thickness val="0"/>
      <c:spPr>
        <a:solidFill>
          <a:srgbClr val="FFFFFF"/>
        </a:solidFill>
        <a:ln w="12700">
          <a:solidFill>
            <a:srgbClr val="FFFFFF"/>
          </a:solidFill>
          <a:prstDash val="solid"/>
        </a:ln>
      </c:spPr>
    </c:sideWall>
    <c:backWall>
      <c:thickness val="0"/>
      <c:spPr>
        <a:solidFill>
          <a:srgbClr val="FFFFFF"/>
        </a:solidFill>
        <a:ln w="12700">
          <a:solidFill>
            <a:srgbClr val="FFFFFF"/>
          </a:solidFill>
          <a:prstDash val="solid"/>
        </a:ln>
      </c:spPr>
    </c:backWall>
    <c:plotArea>
      <c:layout>
        <c:manualLayout>
          <c:layoutTarget val="inner"/>
          <c:xMode val="edge"/>
          <c:yMode val="edge"/>
          <c:x val="4.3478260869565223E-2"/>
          <c:y val="3.9473684210526327E-2"/>
          <c:w val="0.95652173913043481"/>
          <c:h val="0.64383463561307774"/>
        </c:manualLayout>
      </c:layout>
      <c:bar3DChart>
        <c:barDir val="col"/>
        <c:grouping val="clustered"/>
        <c:varyColors val="0"/>
        <c:ser>
          <c:idx val="0"/>
          <c:order val="0"/>
          <c:tx>
            <c:strRef>
              <c:f>Sheet1!$A$2</c:f>
              <c:strCache>
                <c:ptCount val="1"/>
                <c:pt idx="0">
                  <c:v>% управленческих должностей, обеспеченных кадровым резервом</c:v>
                </c:pt>
              </c:strCache>
            </c:strRef>
          </c:tx>
          <c:spPr>
            <a:solidFill>
              <a:srgbClr val="9999FF"/>
            </a:solidFill>
            <a:ln w="16801">
              <a:solidFill>
                <a:srgbClr val="000000"/>
              </a:solidFill>
              <a:prstDash val="solid"/>
            </a:ln>
          </c:spPr>
          <c:invertIfNegative val="0"/>
          <c:dLbls>
            <c:dLbl>
              <c:idx val="0"/>
              <c:layout>
                <c:manualLayout>
                  <c:x val="-2.0931449502878084E-3"/>
                  <c:y val="0.13282247765006386"/>
                </c:manualLayout>
              </c:layout>
              <c:showLegendKey val="0"/>
              <c:showVal val="1"/>
              <c:showCatName val="0"/>
              <c:showSerName val="0"/>
              <c:showPercent val="0"/>
              <c:showBubbleSize val="0"/>
            </c:dLbl>
            <c:dLbl>
              <c:idx val="1"/>
              <c:layout>
                <c:manualLayout>
                  <c:x val="-2.0931449502878084E-3"/>
                  <c:y val="0.14303959131545349"/>
                </c:manualLayout>
              </c:layout>
              <c:showLegendKey val="0"/>
              <c:showVal val="1"/>
              <c:showCatName val="0"/>
              <c:showSerName val="0"/>
              <c:showPercent val="0"/>
              <c:showBubbleSize val="0"/>
            </c:dLbl>
            <c:spPr>
              <a:noFill/>
              <a:ln w="33602">
                <a:noFill/>
              </a:ln>
            </c:spPr>
            <c:txPr>
              <a:bodyPr/>
              <a:lstStyle/>
              <a:p>
                <a:pPr>
                  <a:defRPr sz="1323"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dLbls>
          <c:cat>
            <c:strRef>
              <c:f>Sheet1!$B$1:$C$1</c:f>
              <c:strCache>
                <c:ptCount val="2"/>
                <c:pt idx="0">
                  <c:v>Исполнительный аппарат</c:v>
                </c:pt>
                <c:pt idx="1">
                  <c:v>Энергосбытовые отделения</c:v>
                </c:pt>
              </c:strCache>
            </c:strRef>
          </c:cat>
          <c:val>
            <c:numRef>
              <c:f>Sheet1!$B$2:$C$2</c:f>
              <c:numCache>
                <c:formatCode>General</c:formatCode>
                <c:ptCount val="2"/>
                <c:pt idx="0">
                  <c:v>100</c:v>
                </c:pt>
                <c:pt idx="1">
                  <c:v>100</c:v>
                </c:pt>
              </c:numCache>
            </c:numRef>
          </c:val>
        </c:ser>
        <c:dLbls>
          <c:showLegendKey val="0"/>
          <c:showVal val="0"/>
          <c:showCatName val="0"/>
          <c:showSerName val="0"/>
          <c:showPercent val="0"/>
          <c:showBubbleSize val="0"/>
        </c:dLbls>
        <c:gapWidth val="150"/>
        <c:gapDepth val="0"/>
        <c:shape val="box"/>
        <c:axId val="134866432"/>
        <c:axId val="135424832"/>
        <c:axId val="0"/>
      </c:bar3DChart>
      <c:catAx>
        <c:axId val="134866432"/>
        <c:scaling>
          <c:orientation val="minMax"/>
        </c:scaling>
        <c:delete val="0"/>
        <c:axPos val="b"/>
        <c:numFmt formatCode="General" sourceLinked="1"/>
        <c:majorTickMark val="out"/>
        <c:minorTickMark val="none"/>
        <c:tickLblPos val="low"/>
        <c:spPr>
          <a:ln w="4200">
            <a:solidFill>
              <a:srgbClr val="000000"/>
            </a:solidFill>
            <a:prstDash val="solid"/>
          </a:ln>
        </c:spPr>
        <c:txPr>
          <a:bodyPr rot="0" vert="horz"/>
          <a:lstStyle/>
          <a:p>
            <a:pPr>
              <a:defRPr sz="1323" b="0" i="0" u="none" strike="noStrike" baseline="0">
                <a:solidFill>
                  <a:srgbClr val="000000"/>
                </a:solidFill>
                <a:latin typeface="Times New Roman"/>
                <a:ea typeface="Times New Roman"/>
                <a:cs typeface="Times New Roman"/>
              </a:defRPr>
            </a:pPr>
            <a:endParaRPr lang="ru-RU"/>
          </a:p>
        </c:txPr>
        <c:crossAx val="135424832"/>
        <c:crosses val="autoZero"/>
        <c:auto val="1"/>
        <c:lblAlgn val="ctr"/>
        <c:lblOffset val="100"/>
        <c:tickLblSkip val="1"/>
        <c:tickMarkSkip val="1"/>
        <c:noMultiLvlLbl val="0"/>
      </c:catAx>
      <c:valAx>
        <c:axId val="135424832"/>
        <c:scaling>
          <c:orientation val="minMax"/>
        </c:scaling>
        <c:delete val="0"/>
        <c:axPos val="l"/>
        <c:majorGridlines>
          <c:spPr>
            <a:ln w="4200">
              <a:solidFill>
                <a:srgbClr val="000000"/>
              </a:solidFill>
              <a:prstDash val="solid"/>
            </a:ln>
          </c:spPr>
        </c:majorGridlines>
        <c:numFmt formatCode="General" sourceLinked="1"/>
        <c:majorTickMark val="out"/>
        <c:minorTickMark val="none"/>
        <c:tickLblPos val="nextTo"/>
        <c:spPr>
          <a:ln w="4200">
            <a:solidFill>
              <a:srgbClr val="000000"/>
            </a:solidFill>
            <a:prstDash val="solid"/>
          </a:ln>
        </c:spPr>
        <c:txPr>
          <a:bodyPr rot="0" vert="horz"/>
          <a:lstStyle/>
          <a:p>
            <a:pPr>
              <a:defRPr sz="1323" b="1" i="0" u="none" strike="noStrike" baseline="0">
                <a:solidFill>
                  <a:srgbClr val="000000"/>
                </a:solidFill>
                <a:latin typeface="Calibri"/>
                <a:ea typeface="Calibri"/>
                <a:cs typeface="Calibri"/>
              </a:defRPr>
            </a:pPr>
            <a:endParaRPr lang="ru-RU"/>
          </a:p>
        </c:txPr>
        <c:crossAx val="134866432"/>
        <c:crosses val="autoZero"/>
        <c:crossBetween val="between"/>
      </c:valAx>
      <c:spPr>
        <a:noFill/>
        <a:ln w="33602">
          <a:noFill/>
        </a:ln>
      </c:spPr>
    </c:plotArea>
    <c:legend>
      <c:legendPos val="r"/>
      <c:layout>
        <c:manualLayout>
          <c:xMode val="edge"/>
          <c:yMode val="edge"/>
          <c:x val="0"/>
          <c:y val="0.85087719298245612"/>
          <c:w val="0.96086956521739131"/>
          <c:h val="0.10526315789473686"/>
        </c:manualLayout>
      </c:layout>
      <c:overlay val="0"/>
      <c:spPr>
        <a:noFill/>
        <a:ln w="33602">
          <a:noFill/>
        </a:ln>
      </c:spPr>
      <c:txPr>
        <a:bodyPr/>
        <a:lstStyle/>
        <a:p>
          <a:pPr>
            <a:defRPr sz="1336"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noFill/>
    <a:ln>
      <a:noFill/>
    </a:ln>
  </c:spPr>
  <c:txPr>
    <a:bodyPr/>
    <a:lstStyle/>
    <a:p>
      <a:pPr>
        <a:defRPr sz="1323" b="1" i="0" u="none" strike="noStrike" baseline="0">
          <a:solidFill>
            <a:srgbClr val="000000"/>
          </a:solidFill>
          <a:latin typeface="Calibri"/>
          <a:ea typeface="Calibri"/>
          <a:cs typeface="Calibri"/>
        </a:defRPr>
      </a:pPr>
      <a:endParaRPr lang="ru-RU"/>
    </a:p>
  </c:txPr>
  <c:externalData r:id="rId2">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26506E2-DC84-4C1F-8E04-01E943BF0960}"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ru-RU"/>
        </a:p>
      </dgm:t>
    </dgm:pt>
    <dgm:pt modelId="{978011C8-33F9-4BC5-8ACF-5CDD796CE467}">
      <dgm:prSet phldrT="[Текст]"/>
      <dgm:spPr>
        <a:xfrm>
          <a:off x="1259789" y="1219"/>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dirty="0" smtClean="0">
              <a:solidFill>
                <a:sysClr val="window" lastClr="FFFFFF"/>
              </a:solidFill>
              <a:latin typeface="Times New Roman" panose="02020603050405020304" pitchFamily="18" charset="0"/>
              <a:ea typeface="+mn-ea"/>
              <a:cs typeface="Times New Roman" panose="02020603050405020304" pitchFamily="18" charset="0"/>
            </a:rPr>
            <a:t>Совет директоров</a:t>
          </a:r>
          <a:endParaRPr lang="ru-RU" dirty="0">
            <a:solidFill>
              <a:sysClr val="window" lastClr="FFFFFF"/>
            </a:solidFill>
            <a:latin typeface="Times New Roman" panose="02020603050405020304" pitchFamily="18" charset="0"/>
            <a:ea typeface="+mn-ea"/>
            <a:cs typeface="Times New Roman" panose="02020603050405020304" pitchFamily="18" charset="0"/>
          </a:endParaRPr>
        </a:p>
      </dgm:t>
    </dgm:pt>
    <dgm:pt modelId="{637E6ED4-B1D9-48AC-A4BF-135C0D4CAE91}" type="parTrans" cxnId="{49451536-81DA-42A2-BF8A-C09CE3BFC11D}">
      <dgm:prSet/>
      <dgm:spPr/>
      <dgm:t>
        <a:bodyPr/>
        <a:lstStyle/>
        <a:p>
          <a:endParaRPr lang="ru-RU"/>
        </a:p>
      </dgm:t>
    </dgm:pt>
    <dgm:pt modelId="{AD6DEF51-80BF-47A7-B2CB-3D6E2EF06068}" type="sibTrans" cxnId="{49451536-81DA-42A2-BF8A-C09CE3BFC11D}">
      <dgm:prSet/>
      <dgm:spPr/>
      <dgm:t>
        <a:bodyPr/>
        <a:lstStyle/>
        <a:p>
          <a:endParaRPr lang="ru-RU"/>
        </a:p>
      </dgm:t>
    </dgm:pt>
    <dgm:pt modelId="{EDCD4CD3-3FA4-4C67-A990-85090BFDEE38}">
      <dgm:prSet phldrT="[Текст]"/>
      <dgm:spPr>
        <a:xfrm>
          <a:off x="1126203" y="944870"/>
          <a:ext cx="1596257"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pPr algn="ctr"/>
          <a:r>
            <a:rPr lang="ru-RU" dirty="0" smtClean="0">
              <a:solidFill>
                <a:sysClr val="window" lastClr="FFFFFF"/>
              </a:solidFill>
              <a:latin typeface="Times New Roman" panose="02020603050405020304" pitchFamily="18" charset="0"/>
              <a:ea typeface="+mn-ea"/>
              <a:cs typeface="Times New Roman" panose="02020603050405020304" pitchFamily="18" charset="0"/>
            </a:rPr>
            <a:t>Единоличный исполнительный орган (Генеральный директор)</a:t>
          </a:r>
          <a:endParaRPr lang="ru-RU" dirty="0">
            <a:solidFill>
              <a:sysClr val="window" lastClr="FFFFFF"/>
            </a:solidFill>
            <a:latin typeface="Times New Roman" panose="02020603050405020304" pitchFamily="18" charset="0"/>
            <a:ea typeface="+mn-ea"/>
            <a:cs typeface="Times New Roman" panose="02020603050405020304" pitchFamily="18" charset="0"/>
          </a:endParaRPr>
        </a:p>
      </dgm:t>
    </dgm:pt>
    <dgm:pt modelId="{E9C312F7-D494-4EFD-B4EA-4A780C269A2B}" type="parTrans" cxnId="{32067210-9707-4E5F-85E8-1BF87A1405AA}">
      <dgm:prSet/>
      <dgm:spPr>
        <a:xfrm>
          <a:off x="1878612" y="665762"/>
          <a:ext cx="91440" cy="279107"/>
        </a:xfrm>
        <a:custGeom>
          <a:avLst/>
          <a:gdLst/>
          <a:ahLst/>
          <a:cxnLst/>
          <a:rect l="0" t="0" r="0" b="0"/>
          <a:pathLst>
            <a:path>
              <a:moveTo>
                <a:pt x="45720" y="0"/>
              </a:moveTo>
              <a:lnTo>
                <a:pt x="45720" y="330068"/>
              </a:lnTo>
            </a:path>
          </a:pathLst>
        </a:custGeom>
        <a:noFill/>
        <a:ln w="25400" cap="flat" cmpd="sng" algn="ctr">
          <a:solidFill>
            <a:srgbClr val="4F81BD">
              <a:shade val="60000"/>
              <a:hueOff val="0"/>
              <a:satOff val="0"/>
              <a:lumOff val="0"/>
              <a:alphaOff val="0"/>
            </a:srgbClr>
          </a:solidFill>
          <a:prstDash val="solid"/>
        </a:ln>
        <a:effectLst/>
      </dgm:spPr>
      <dgm:t>
        <a:bodyPr/>
        <a:lstStyle/>
        <a:p>
          <a:endParaRPr lang="ru-RU"/>
        </a:p>
      </dgm:t>
    </dgm:pt>
    <dgm:pt modelId="{0AACD8AC-918A-4E74-9DC8-B3584BD33D59}" type="sibTrans" cxnId="{32067210-9707-4E5F-85E8-1BF87A1405AA}">
      <dgm:prSet/>
      <dgm:spPr/>
      <dgm:t>
        <a:bodyPr/>
        <a:lstStyle/>
        <a:p>
          <a:endParaRPr lang="ru-RU"/>
        </a:p>
      </dgm:t>
    </dgm:pt>
    <dgm:pt modelId="{3D23BD2E-A335-4620-ACAC-0772D08DA1B7}">
      <dgm:prSet/>
      <dgm:spPr>
        <a:xfrm>
          <a:off x="455693" y="1888520"/>
          <a:ext cx="1329084" cy="859180"/>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dirty="0" smtClean="0">
              <a:solidFill>
                <a:sysClr val="window" lastClr="FFFFFF"/>
              </a:solidFill>
              <a:latin typeface="Times New Roman" panose="02020603050405020304" pitchFamily="18" charset="0"/>
              <a:ea typeface="+mn-ea"/>
              <a:cs typeface="Times New Roman" panose="02020603050405020304" pitchFamily="18" charset="0"/>
            </a:rPr>
            <a:t>- Руководители блоков и структурных подразделений</a:t>
          </a:r>
        </a:p>
        <a:p>
          <a:r>
            <a:rPr lang="ru-RU" dirty="0" smtClean="0">
              <a:solidFill>
                <a:sysClr val="window" lastClr="FFFFFF"/>
              </a:solidFill>
              <a:latin typeface="Times New Roman" panose="02020603050405020304" pitchFamily="18" charset="0"/>
              <a:ea typeface="+mn-ea"/>
              <a:cs typeface="Times New Roman" panose="02020603050405020304" pitchFamily="18" charset="0"/>
            </a:rPr>
            <a:t>- Исполнители контрольных процедур</a:t>
          </a:r>
          <a:endParaRPr lang="ru-RU" dirty="0">
            <a:solidFill>
              <a:sysClr val="window" lastClr="FFFFFF"/>
            </a:solidFill>
            <a:latin typeface="Times New Roman" panose="02020603050405020304" pitchFamily="18" charset="0"/>
            <a:ea typeface="+mn-ea"/>
            <a:cs typeface="Times New Roman" panose="02020603050405020304" pitchFamily="18" charset="0"/>
          </a:endParaRPr>
        </a:p>
      </dgm:t>
    </dgm:pt>
    <dgm:pt modelId="{06D9CFD5-D4E5-468C-A122-F8A1330232B2}" type="parTrans" cxnId="{F7FA8A10-C1FE-45C5-BAAE-0100BDDD22FF}">
      <dgm:prSet/>
      <dgm:spPr>
        <a:xfrm>
          <a:off x="1120235" y="1609412"/>
          <a:ext cx="804096" cy="279107"/>
        </a:xfrm>
        <a:custGeom>
          <a:avLst/>
          <a:gdLst/>
          <a:ahLst/>
          <a:cxnLst/>
          <a:rect l="0" t="0" r="0" b="0"/>
          <a:pathLst>
            <a:path>
              <a:moveTo>
                <a:pt x="950915" y="0"/>
              </a:moveTo>
              <a:lnTo>
                <a:pt x="950915" y="165034"/>
              </a:lnTo>
              <a:lnTo>
                <a:pt x="0" y="165034"/>
              </a:lnTo>
              <a:lnTo>
                <a:pt x="0" y="33006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3ABE7E1F-EFAB-406F-AA36-B21A3A57301D}" type="sibTrans" cxnId="{F7FA8A10-C1FE-45C5-BAAE-0100BDDD22FF}">
      <dgm:prSet/>
      <dgm:spPr/>
      <dgm:t>
        <a:bodyPr/>
        <a:lstStyle/>
        <a:p>
          <a:endParaRPr lang="ru-RU"/>
        </a:p>
      </dgm:t>
    </dgm:pt>
    <dgm:pt modelId="{16970616-A6D0-4223-8C4C-744D3A5B7343}">
      <dgm:prSet custT="1"/>
      <dgm:spPr>
        <a:xfrm>
          <a:off x="2063886" y="1888520"/>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dirty="0" smtClean="0">
              <a:solidFill>
                <a:sysClr val="window" lastClr="FFFFFF"/>
              </a:solidFill>
              <a:latin typeface="Times New Roman" panose="02020603050405020304" pitchFamily="18" charset="0"/>
              <a:ea typeface="+mn-ea"/>
              <a:cs typeface="Times New Roman" panose="02020603050405020304" pitchFamily="18" charset="0"/>
            </a:rPr>
            <a:t>Финансово-экономический департамент</a:t>
          </a:r>
          <a:endParaRPr lang="ru-RU" sz="1000" dirty="0">
            <a:solidFill>
              <a:sysClr val="window" lastClr="FFFFFF"/>
            </a:solidFill>
            <a:latin typeface="Times New Roman" panose="02020603050405020304" pitchFamily="18" charset="0"/>
            <a:ea typeface="+mn-ea"/>
            <a:cs typeface="Times New Roman" panose="02020603050405020304" pitchFamily="18" charset="0"/>
          </a:endParaRPr>
        </a:p>
      </dgm:t>
    </dgm:pt>
    <dgm:pt modelId="{5B3FFFD8-D225-46E8-ACEB-3DB5BC89418D}" type="parTrans" cxnId="{CD82F438-E5F9-4041-8C9F-81E963F4B596}">
      <dgm:prSet/>
      <dgm:spPr>
        <a:xfrm>
          <a:off x="1924332" y="1609412"/>
          <a:ext cx="804096" cy="279107"/>
        </a:xfrm>
        <a:custGeom>
          <a:avLst/>
          <a:gdLst/>
          <a:ahLst/>
          <a:cxnLst/>
          <a:rect l="0" t="0" r="0" b="0"/>
          <a:pathLst>
            <a:path>
              <a:moveTo>
                <a:pt x="0" y="0"/>
              </a:moveTo>
              <a:lnTo>
                <a:pt x="0" y="165034"/>
              </a:lnTo>
              <a:lnTo>
                <a:pt x="950915" y="165034"/>
              </a:lnTo>
              <a:lnTo>
                <a:pt x="950915" y="330069"/>
              </a:lnTo>
            </a:path>
          </a:pathLst>
        </a:custGeo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537D0755-C0F6-4F95-A4D5-EF4E439D5F91}" type="sibTrans" cxnId="{CD82F438-E5F9-4041-8C9F-81E963F4B596}">
      <dgm:prSet/>
      <dgm:spPr/>
      <dgm:t>
        <a:bodyPr/>
        <a:lstStyle/>
        <a:p>
          <a:endParaRPr lang="ru-RU"/>
        </a:p>
      </dgm:t>
    </dgm:pt>
    <dgm:pt modelId="{EA17EEA3-8625-43B4-B01D-594F51558407}">
      <dgm:prSet custT="1"/>
      <dgm:spPr>
        <a:xfrm>
          <a:off x="2396157" y="2832170"/>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ru-RU" sz="1000" dirty="0" smtClean="0">
              <a:solidFill>
                <a:sysClr val="window" lastClr="FFFFFF"/>
              </a:solidFill>
              <a:latin typeface="Times New Roman" panose="02020603050405020304" pitchFamily="18" charset="0"/>
              <a:ea typeface="+mn-ea"/>
              <a:cs typeface="Times New Roman" panose="02020603050405020304" pitchFamily="18" charset="0"/>
            </a:rPr>
            <a:t>Отдел внутреннего аудита</a:t>
          </a:r>
          <a:endParaRPr lang="ru-RU" sz="1000" dirty="0">
            <a:solidFill>
              <a:sysClr val="window" lastClr="FFFFFF"/>
            </a:solidFill>
            <a:latin typeface="Times New Roman" panose="02020603050405020304" pitchFamily="18" charset="0"/>
            <a:ea typeface="+mn-ea"/>
            <a:cs typeface="Times New Roman" panose="02020603050405020304" pitchFamily="18" charset="0"/>
          </a:endParaRPr>
        </a:p>
      </dgm:t>
    </dgm:pt>
    <dgm:pt modelId="{B09608F5-FE0B-452E-8CBC-12B643A2C5F9}" type="parTrans" cxnId="{351181E2-FAF2-4005-B421-4E847C694F00}">
      <dgm:prSet/>
      <dgm:spPr>
        <a:xfrm>
          <a:off x="2196794" y="2553062"/>
          <a:ext cx="199362" cy="611378"/>
        </a:xfrm>
        <a:custGeom>
          <a:avLst/>
          <a:gdLst/>
          <a:ahLst/>
          <a:cxnLst/>
          <a:rect l="0" t="0" r="0" b="0"/>
          <a:pathLst>
            <a:path>
              <a:moveTo>
                <a:pt x="0" y="0"/>
              </a:moveTo>
              <a:lnTo>
                <a:pt x="0" y="723010"/>
              </a:lnTo>
              <a:lnTo>
                <a:pt x="235764" y="723010"/>
              </a:lnTo>
            </a:path>
          </a:pathLst>
        </a:custGeom>
        <a:noFill/>
        <a:ln w="25400" cap="flat" cmpd="sng" algn="ctr">
          <a:solidFill>
            <a:srgbClr val="4F81BD">
              <a:shade val="80000"/>
              <a:hueOff val="0"/>
              <a:satOff val="0"/>
              <a:lumOff val="0"/>
              <a:alphaOff val="0"/>
            </a:srgbClr>
          </a:solidFill>
          <a:prstDash val="solid"/>
        </a:ln>
        <a:effectLst/>
      </dgm:spPr>
      <dgm:t>
        <a:bodyPr/>
        <a:lstStyle/>
        <a:p>
          <a:endParaRPr lang="ru-RU"/>
        </a:p>
      </dgm:t>
    </dgm:pt>
    <dgm:pt modelId="{1EFCA460-6AE8-4E31-B95A-2E6B3AB15792}" type="sibTrans" cxnId="{351181E2-FAF2-4005-B421-4E847C694F00}">
      <dgm:prSet/>
      <dgm:spPr/>
      <dgm:t>
        <a:bodyPr/>
        <a:lstStyle/>
        <a:p>
          <a:endParaRPr lang="ru-RU"/>
        </a:p>
      </dgm:t>
    </dgm:pt>
    <dgm:pt modelId="{0FCE801D-FC67-4BFC-97EB-C51B05398E7D}" type="pres">
      <dgm:prSet presAssocID="{626506E2-DC84-4C1F-8E04-01E943BF0960}" presName="hierChild1" presStyleCnt="0">
        <dgm:presLayoutVars>
          <dgm:orgChart val="1"/>
          <dgm:chPref val="1"/>
          <dgm:dir/>
          <dgm:animOne val="branch"/>
          <dgm:animLvl val="lvl"/>
          <dgm:resizeHandles/>
        </dgm:presLayoutVars>
      </dgm:prSet>
      <dgm:spPr/>
      <dgm:t>
        <a:bodyPr/>
        <a:lstStyle/>
        <a:p>
          <a:endParaRPr lang="ru-RU"/>
        </a:p>
      </dgm:t>
    </dgm:pt>
    <dgm:pt modelId="{CF6EB9FF-B775-4F5E-B5FE-334CC50008E1}" type="pres">
      <dgm:prSet presAssocID="{978011C8-33F9-4BC5-8ACF-5CDD796CE467}" presName="hierRoot1" presStyleCnt="0">
        <dgm:presLayoutVars>
          <dgm:hierBranch val="init"/>
        </dgm:presLayoutVars>
      </dgm:prSet>
      <dgm:spPr/>
    </dgm:pt>
    <dgm:pt modelId="{1128E223-6A5A-4176-B82D-1A34E7152BC4}" type="pres">
      <dgm:prSet presAssocID="{978011C8-33F9-4BC5-8ACF-5CDD796CE467}" presName="rootComposite1" presStyleCnt="0"/>
      <dgm:spPr/>
    </dgm:pt>
    <dgm:pt modelId="{AFC2B0CC-13EA-4522-80CF-BD879A7BE140}" type="pres">
      <dgm:prSet presAssocID="{978011C8-33F9-4BC5-8ACF-5CDD796CE467}" presName="rootText1" presStyleLbl="node0" presStyleIdx="0" presStyleCnt="1" custLinFactNeighborX="-65929" custLinFactNeighborY="-69">
        <dgm:presLayoutVars>
          <dgm:chPref val="3"/>
        </dgm:presLayoutVars>
      </dgm:prSet>
      <dgm:spPr>
        <a:prstGeom prst="rect">
          <a:avLst/>
        </a:prstGeom>
      </dgm:spPr>
      <dgm:t>
        <a:bodyPr/>
        <a:lstStyle/>
        <a:p>
          <a:endParaRPr lang="ru-RU"/>
        </a:p>
      </dgm:t>
    </dgm:pt>
    <dgm:pt modelId="{FF53C166-73FE-4790-A6EB-EFE7C5FD582D}" type="pres">
      <dgm:prSet presAssocID="{978011C8-33F9-4BC5-8ACF-5CDD796CE467}" presName="rootConnector1" presStyleLbl="node1" presStyleIdx="0" presStyleCnt="0"/>
      <dgm:spPr/>
      <dgm:t>
        <a:bodyPr/>
        <a:lstStyle/>
        <a:p>
          <a:endParaRPr lang="ru-RU"/>
        </a:p>
      </dgm:t>
    </dgm:pt>
    <dgm:pt modelId="{D0C6CE53-B594-4753-AD1D-15A05C67479B}" type="pres">
      <dgm:prSet presAssocID="{978011C8-33F9-4BC5-8ACF-5CDD796CE467}" presName="hierChild2" presStyleCnt="0"/>
      <dgm:spPr/>
    </dgm:pt>
    <dgm:pt modelId="{B68B99C2-7E31-4DCE-9BEB-DD1F0B349E37}" type="pres">
      <dgm:prSet presAssocID="{E9C312F7-D494-4EFD-B4EA-4A780C269A2B}" presName="Name37" presStyleLbl="parChTrans1D2" presStyleIdx="0" presStyleCnt="1"/>
      <dgm:spPr>
        <a:custGeom>
          <a:avLst/>
          <a:gdLst/>
          <a:ahLst/>
          <a:cxnLst/>
          <a:rect l="0" t="0" r="0" b="0"/>
          <a:pathLst>
            <a:path>
              <a:moveTo>
                <a:pt x="45720" y="0"/>
              </a:moveTo>
              <a:lnTo>
                <a:pt x="45720" y="330068"/>
              </a:lnTo>
            </a:path>
          </a:pathLst>
        </a:custGeom>
      </dgm:spPr>
      <dgm:t>
        <a:bodyPr/>
        <a:lstStyle/>
        <a:p>
          <a:endParaRPr lang="ru-RU"/>
        </a:p>
      </dgm:t>
    </dgm:pt>
    <dgm:pt modelId="{C601644E-1AE6-4D84-BC46-CB7237C498F2}" type="pres">
      <dgm:prSet presAssocID="{EDCD4CD3-3FA4-4C67-A990-85090BFDEE38}" presName="hierRoot2" presStyleCnt="0">
        <dgm:presLayoutVars>
          <dgm:hierBranch val="init"/>
        </dgm:presLayoutVars>
      </dgm:prSet>
      <dgm:spPr/>
    </dgm:pt>
    <dgm:pt modelId="{E9C4CD7A-0DFA-49D6-B9C2-43ECF293A899}" type="pres">
      <dgm:prSet presAssocID="{EDCD4CD3-3FA4-4C67-A990-85090BFDEE38}" presName="rootComposite" presStyleCnt="0"/>
      <dgm:spPr/>
    </dgm:pt>
    <dgm:pt modelId="{4CFAB571-BBEA-47AB-859F-72FAE78C8E0D}" type="pres">
      <dgm:prSet presAssocID="{EDCD4CD3-3FA4-4C67-A990-85090BFDEE38}" presName="rootText" presStyleLbl="node2" presStyleIdx="0" presStyleCnt="1" custScaleX="120102" custLinFactNeighborX="-65929" custLinFactNeighborY="-69">
        <dgm:presLayoutVars>
          <dgm:chPref val="3"/>
        </dgm:presLayoutVars>
      </dgm:prSet>
      <dgm:spPr>
        <a:prstGeom prst="rect">
          <a:avLst/>
        </a:prstGeom>
      </dgm:spPr>
      <dgm:t>
        <a:bodyPr/>
        <a:lstStyle/>
        <a:p>
          <a:endParaRPr lang="ru-RU"/>
        </a:p>
      </dgm:t>
    </dgm:pt>
    <dgm:pt modelId="{AAC990B2-7164-4B5B-A1F7-66D8D57553AB}" type="pres">
      <dgm:prSet presAssocID="{EDCD4CD3-3FA4-4C67-A990-85090BFDEE38}" presName="rootConnector" presStyleLbl="node2" presStyleIdx="0" presStyleCnt="1"/>
      <dgm:spPr/>
      <dgm:t>
        <a:bodyPr/>
        <a:lstStyle/>
        <a:p>
          <a:endParaRPr lang="ru-RU"/>
        </a:p>
      </dgm:t>
    </dgm:pt>
    <dgm:pt modelId="{98BF9540-8F3B-4713-B85F-A83FF9C08FF6}" type="pres">
      <dgm:prSet presAssocID="{EDCD4CD3-3FA4-4C67-A990-85090BFDEE38}" presName="hierChild4" presStyleCnt="0"/>
      <dgm:spPr/>
    </dgm:pt>
    <dgm:pt modelId="{6740F0E3-8602-48AD-97F0-3D6BE02DE848}" type="pres">
      <dgm:prSet presAssocID="{06D9CFD5-D4E5-468C-A122-F8A1330232B2}" presName="Name37" presStyleLbl="parChTrans1D3" presStyleIdx="0" presStyleCnt="2"/>
      <dgm:spPr>
        <a:custGeom>
          <a:avLst/>
          <a:gdLst/>
          <a:ahLst/>
          <a:cxnLst/>
          <a:rect l="0" t="0" r="0" b="0"/>
          <a:pathLst>
            <a:path>
              <a:moveTo>
                <a:pt x="950915" y="0"/>
              </a:moveTo>
              <a:lnTo>
                <a:pt x="950915" y="165034"/>
              </a:lnTo>
              <a:lnTo>
                <a:pt x="0" y="165034"/>
              </a:lnTo>
              <a:lnTo>
                <a:pt x="0" y="330069"/>
              </a:lnTo>
            </a:path>
          </a:pathLst>
        </a:custGeom>
      </dgm:spPr>
      <dgm:t>
        <a:bodyPr/>
        <a:lstStyle/>
        <a:p>
          <a:endParaRPr lang="ru-RU"/>
        </a:p>
      </dgm:t>
    </dgm:pt>
    <dgm:pt modelId="{6294F9E6-946B-46DA-965D-C79A78123C35}" type="pres">
      <dgm:prSet presAssocID="{3D23BD2E-A335-4620-ACAC-0772D08DA1B7}" presName="hierRoot2" presStyleCnt="0">
        <dgm:presLayoutVars>
          <dgm:hierBranch val="init"/>
        </dgm:presLayoutVars>
      </dgm:prSet>
      <dgm:spPr/>
    </dgm:pt>
    <dgm:pt modelId="{AE9B1441-A514-4E93-81AB-02598EA62A33}" type="pres">
      <dgm:prSet presAssocID="{3D23BD2E-A335-4620-ACAC-0772D08DA1B7}" presName="rootComposite" presStyleCnt="0"/>
      <dgm:spPr/>
    </dgm:pt>
    <dgm:pt modelId="{1BF0101B-A9DF-46A3-BF97-2AE8902CC0BF}" type="pres">
      <dgm:prSet presAssocID="{3D23BD2E-A335-4620-ACAC-0772D08DA1B7}" presName="rootText" presStyleLbl="node3" presStyleIdx="0" presStyleCnt="2" custScaleY="129289" custLinFactNeighborX="-65929" custLinFactNeighborY="-69">
        <dgm:presLayoutVars>
          <dgm:chPref val="3"/>
        </dgm:presLayoutVars>
      </dgm:prSet>
      <dgm:spPr>
        <a:prstGeom prst="rect">
          <a:avLst/>
        </a:prstGeom>
      </dgm:spPr>
      <dgm:t>
        <a:bodyPr/>
        <a:lstStyle/>
        <a:p>
          <a:endParaRPr lang="ru-RU"/>
        </a:p>
      </dgm:t>
    </dgm:pt>
    <dgm:pt modelId="{94594A4A-563E-4205-9A9B-8B3442F62916}" type="pres">
      <dgm:prSet presAssocID="{3D23BD2E-A335-4620-ACAC-0772D08DA1B7}" presName="rootConnector" presStyleLbl="node3" presStyleIdx="0" presStyleCnt="2"/>
      <dgm:spPr/>
      <dgm:t>
        <a:bodyPr/>
        <a:lstStyle/>
        <a:p>
          <a:endParaRPr lang="ru-RU"/>
        </a:p>
      </dgm:t>
    </dgm:pt>
    <dgm:pt modelId="{0619EEF1-C6F7-4B2A-B5FF-E781460E5046}" type="pres">
      <dgm:prSet presAssocID="{3D23BD2E-A335-4620-ACAC-0772D08DA1B7}" presName="hierChild4" presStyleCnt="0"/>
      <dgm:spPr/>
    </dgm:pt>
    <dgm:pt modelId="{DB01FCE9-98FD-46A4-90A4-EC168BC3C690}" type="pres">
      <dgm:prSet presAssocID="{3D23BD2E-A335-4620-ACAC-0772D08DA1B7}" presName="hierChild5" presStyleCnt="0"/>
      <dgm:spPr/>
    </dgm:pt>
    <dgm:pt modelId="{27422548-6A93-4664-B4F8-E12E552BA3A1}" type="pres">
      <dgm:prSet presAssocID="{5B3FFFD8-D225-46E8-ACEB-3DB5BC89418D}" presName="Name37" presStyleLbl="parChTrans1D3" presStyleIdx="1" presStyleCnt="2"/>
      <dgm:spPr>
        <a:custGeom>
          <a:avLst/>
          <a:gdLst/>
          <a:ahLst/>
          <a:cxnLst/>
          <a:rect l="0" t="0" r="0" b="0"/>
          <a:pathLst>
            <a:path>
              <a:moveTo>
                <a:pt x="0" y="0"/>
              </a:moveTo>
              <a:lnTo>
                <a:pt x="0" y="165034"/>
              </a:lnTo>
              <a:lnTo>
                <a:pt x="950915" y="165034"/>
              </a:lnTo>
              <a:lnTo>
                <a:pt x="950915" y="330069"/>
              </a:lnTo>
            </a:path>
          </a:pathLst>
        </a:custGeom>
      </dgm:spPr>
      <dgm:t>
        <a:bodyPr/>
        <a:lstStyle/>
        <a:p>
          <a:endParaRPr lang="ru-RU"/>
        </a:p>
      </dgm:t>
    </dgm:pt>
    <dgm:pt modelId="{FDA9A773-B9A7-4268-8D16-324FAC771584}" type="pres">
      <dgm:prSet presAssocID="{16970616-A6D0-4223-8C4C-744D3A5B7343}" presName="hierRoot2" presStyleCnt="0">
        <dgm:presLayoutVars>
          <dgm:hierBranch val="init"/>
        </dgm:presLayoutVars>
      </dgm:prSet>
      <dgm:spPr/>
    </dgm:pt>
    <dgm:pt modelId="{4BE5CC41-B2F6-49A8-8B84-1F79A31FACE6}" type="pres">
      <dgm:prSet presAssocID="{16970616-A6D0-4223-8C4C-744D3A5B7343}" presName="rootComposite" presStyleCnt="0"/>
      <dgm:spPr/>
    </dgm:pt>
    <dgm:pt modelId="{099D8DDA-C08D-4B17-9C1D-1ACBD7DA70AF}" type="pres">
      <dgm:prSet presAssocID="{16970616-A6D0-4223-8C4C-744D3A5B7343}" presName="rootText" presStyleLbl="node3" presStyleIdx="1" presStyleCnt="2" custLinFactNeighborX="-65929" custLinFactNeighborY="-69">
        <dgm:presLayoutVars>
          <dgm:chPref val="3"/>
        </dgm:presLayoutVars>
      </dgm:prSet>
      <dgm:spPr>
        <a:prstGeom prst="rect">
          <a:avLst/>
        </a:prstGeom>
      </dgm:spPr>
      <dgm:t>
        <a:bodyPr/>
        <a:lstStyle/>
        <a:p>
          <a:endParaRPr lang="ru-RU"/>
        </a:p>
      </dgm:t>
    </dgm:pt>
    <dgm:pt modelId="{2C627F40-CDFA-4A4C-9C2C-62A6A68ADD9B}" type="pres">
      <dgm:prSet presAssocID="{16970616-A6D0-4223-8C4C-744D3A5B7343}" presName="rootConnector" presStyleLbl="node3" presStyleIdx="1" presStyleCnt="2"/>
      <dgm:spPr/>
      <dgm:t>
        <a:bodyPr/>
        <a:lstStyle/>
        <a:p>
          <a:endParaRPr lang="ru-RU"/>
        </a:p>
      </dgm:t>
    </dgm:pt>
    <dgm:pt modelId="{277C6569-41F8-4F29-98D5-33079B598C19}" type="pres">
      <dgm:prSet presAssocID="{16970616-A6D0-4223-8C4C-744D3A5B7343}" presName="hierChild4" presStyleCnt="0"/>
      <dgm:spPr/>
    </dgm:pt>
    <dgm:pt modelId="{8A941F9A-B63A-4CCB-B4D4-4191D626683B}" type="pres">
      <dgm:prSet presAssocID="{B09608F5-FE0B-452E-8CBC-12B643A2C5F9}" presName="Name37" presStyleLbl="parChTrans1D4" presStyleIdx="0" presStyleCnt="1"/>
      <dgm:spPr>
        <a:custGeom>
          <a:avLst/>
          <a:gdLst/>
          <a:ahLst/>
          <a:cxnLst/>
          <a:rect l="0" t="0" r="0" b="0"/>
          <a:pathLst>
            <a:path>
              <a:moveTo>
                <a:pt x="0" y="0"/>
              </a:moveTo>
              <a:lnTo>
                <a:pt x="0" y="723010"/>
              </a:lnTo>
              <a:lnTo>
                <a:pt x="235764" y="723010"/>
              </a:lnTo>
            </a:path>
          </a:pathLst>
        </a:custGeom>
      </dgm:spPr>
      <dgm:t>
        <a:bodyPr/>
        <a:lstStyle/>
        <a:p>
          <a:endParaRPr lang="ru-RU"/>
        </a:p>
      </dgm:t>
    </dgm:pt>
    <dgm:pt modelId="{DE72C71A-CF5B-4626-BAE7-6522CD88C67E}" type="pres">
      <dgm:prSet presAssocID="{EA17EEA3-8625-43B4-B01D-594F51558407}" presName="hierRoot2" presStyleCnt="0">
        <dgm:presLayoutVars>
          <dgm:hierBranch val="init"/>
        </dgm:presLayoutVars>
      </dgm:prSet>
      <dgm:spPr/>
    </dgm:pt>
    <dgm:pt modelId="{EDBF58FD-6042-4EAC-A820-3F2D60939BD1}" type="pres">
      <dgm:prSet presAssocID="{EA17EEA3-8625-43B4-B01D-594F51558407}" presName="rootComposite" presStyleCnt="0"/>
      <dgm:spPr/>
    </dgm:pt>
    <dgm:pt modelId="{F59522B1-4A3B-46BE-9902-8A13A031E358}" type="pres">
      <dgm:prSet presAssocID="{EA17EEA3-8625-43B4-B01D-594F51558407}" presName="rootText" presStyleLbl="node4" presStyleIdx="0" presStyleCnt="1" custLinFactNeighborX="-65929" custLinFactNeighborY="-69">
        <dgm:presLayoutVars>
          <dgm:chPref val="3"/>
        </dgm:presLayoutVars>
      </dgm:prSet>
      <dgm:spPr>
        <a:prstGeom prst="rect">
          <a:avLst/>
        </a:prstGeom>
      </dgm:spPr>
      <dgm:t>
        <a:bodyPr/>
        <a:lstStyle/>
        <a:p>
          <a:endParaRPr lang="ru-RU"/>
        </a:p>
      </dgm:t>
    </dgm:pt>
    <dgm:pt modelId="{F19554BB-DEBA-4823-BDEC-49A98F82D605}" type="pres">
      <dgm:prSet presAssocID="{EA17EEA3-8625-43B4-B01D-594F51558407}" presName="rootConnector" presStyleLbl="node4" presStyleIdx="0" presStyleCnt="1"/>
      <dgm:spPr/>
      <dgm:t>
        <a:bodyPr/>
        <a:lstStyle/>
        <a:p>
          <a:endParaRPr lang="ru-RU"/>
        </a:p>
      </dgm:t>
    </dgm:pt>
    <dgm:pt modelId="{44EAF812-7846-4F0A-AB9A-6D20F9F10093}" type="pres">
      <dgm:prSet presAssocID="{EA17EEA3-8625-43B4-B01D-594F51558407}" presName="hierChild4" presStyleCnt="0"/>
      <dgm:spPr/>
    </dgm:pt>
    <dgm:pt modelId="{26DDF011-69F4-404E-98CF-D907302D6EC7}" type="pres">
      <dgm:prSet presAssocID="{EA17EEA3-8625-43B4-B01D-594F51558407}" presName="hierChild5" presStyleCnt="0"/>
      <dgm:spPr/>
    </dgm:pt>
    <dgm:pt modelId="{ACC713EE-520B-48DA-9B2D-8E3F81EDEC6E}" type="pres">
      <dgm:prSet presAssocID="{16970616-A6D0-4223-8C4C-744D3A5B7343}" presName="hierChild5" presStyleCnt="0"/>
      <dgm:spPr/>
    </dgm:pt>
    <dgm:pt modelId="{B6944F20-C679-4D47-9D23-79032A9DC31F}" type="pres">
      <dgm:prSet presAssocID="{EDCD4CD3-3FA4-4C67-A990-85090BFDEE38}" presName="hierChild5" presStyleCnt="0"/>
      <dgm:spPr/>
    </dgm:pt>
    <dgm:pt modelId="{70159EE1-261C-43DD-B905-2F90186551F0}" type="pres">
      <dgm:prSet presAssocID="{978011C8-33F9-4BC5-8ACF-5CDD796CE467}" presName="hierChild3" presStyleCnt="0"/>
      <dgm:spPr/>
    </dgm:pt>
  </dgm:ptLst>
  <dgm:cxnLst>
    <dgm:cxn modelId="{49451536-81DA-42A2-BF8A-C09CE3BFC11D}" srcId="{626506E2-DC84-4C1F-8E04-01E943BF0960}" destId="{978011C8-33F9-4BC5-8ACF-5CDD796CE467}" srcOrd="0" destOrd="0" parTransId="{637E6ED4-B1D9-48AC-A4BF-135C0D4CAE91}" sibTransId="{AD6DEF51-80BF-47A7-B2CB-3D6E2EF06068}"/>
    <dgm:cxn modelId="{45E16478-6529-42A0-A592-C1563147F278}" type="presOf" srcId="{B09608F5-FE0B-452E-8CBC-12B643A2C5F9}" destId="{8A941F9A-B63A-4CCB-B4D4-4191D626683B}" srcOrd="0" destOrd="0" presId="urn:microsoft.com/office/officeart/2005/8/layout/orgChart1"/>
    <dgm:cxn modelId="{F7FA8A10-C1FE-45C5-BAAE-0100BDDD22FF}" srcId="{EDCD4CD3-3FA4-4C67-A990-85090BFDEE38}" destId="{3D23BD2E-A335-4620-ACAC-0772D08DA1B7}" srcOrd="0" destOrd="0" parTransId="{06D9CFD5-D4E5-468C-A122-F8A1330232B2}" sibTransId="{3ABE7E1F-EFAB-406F-AA36-B21A3A57301D}"/>
    <dgm:cxn modelId="{804C6B2B-9E9E-4F93-9B38-FCA2A3988E8C}" type="presOf" srcId="{978011C8-33F9-4BC5-8ACF-5CDD796CE467}" destId="{AFC2B0CC-13EA-4522-80CF-BD879A7BE140}" srcOrd="0" destOrd="0" presId="urn:microsoft.com/office/officeart/2005/8/layout/orgChart1"/>
    <dgm:cxn modelId="{19626F65-9F29-4C76-9353-3B9FA2580AA6}" type="presOf" srcId="{EDCD4CD3-3FA4-4C67-A990-85090BFDEE38}" destId="{AAC990B2-7164-4B5B-A1F7-66D8D57553AB}" srcOrd="1" destOrd="0" presId="urn:microsoft.com/office/officeart/2005/8/layout/orgChart1"/>
    <dgm:cxn modelId="{AF1D0D54-A69A-47F6-B61E-94B94906B874}" type="presOf" srcId="{3D23BD2E-A335-4620-ACAC-0772D08DA1B7}" destId="{1BF0101B-A9DF-46A3-BF97-2AE8902CC0BF}" srcOrd="0" destOrd="0" presId="urn:microsoft.com/office/officeart/2005/8/layout/orgChart1"/>
    <dgm:cxn modelId="{20210CFA-73BC-445D-BE2A-8F6F89E3E562}" type="presOf" srcId="{E9C312F7-D494-4EFD-B4EA-4A780C269A2B}" destId="{B68B99C2-7E31-4DCE-9BEB-DD1F0B349E37}" srcOrd="0" destOrd="0" presId="urn:microsoft.com/office/officeart/2005/8/layout/orgChart1"/>
    <dgm:cxn modelId="{351181E2-FAF2-4005-B421-4E847C694F00}" srcId="{16970616-A6D0-4223-8C4C-744D3A5B7343}" destId="{EA17EEA3-8625-43B4-B01D-594F51558407}" srcOrd="0" destOrd="0" parTransId="{B09608F5-FE0B-452E-8CBC-12B643A2C5F9}" sibTransId="{1EFCA460-6AE8-4E31-B95A-2E6B3AB15792}"/>
    <dgm:cxn modelId="{32067210-9707-4E5F-85E8-1BF87A1405AA}" srcId="{978011C8-33F9-4BC5-8ACF-5CDD796CE467}" destId="{EDCD4CD3-3FA4-4C67-A990-85090BFDEE38}" srcOrd="0" destOrd="0" parTransId="{E9C312F7-D494-4EFD-B4EA-4A780C269A2B}" sibTransId="{0AACD8AC-918A-4E74-9DC8-B3584BD33D59}"/>
    <dgm:cxn modelId="{0B511446-C84D-4BE5-B620-0C540D8C4EC5}" type="presOf" srcId="{EA17EEA3-8625-43B4-B01D-594F51558407}" destId="{F19554BB-DEBA-4823-BDEC-49A98F82D605}" srcOrd="1" destOrd="0" presId="urn:microsoft.com/office/officeart/2005/8/layout/orgChart1"/>
    <dgm:cxn modelId="{CD82F438-E5F9-4041-8C9F-81E963F4B596}" srcId="{EDCD4CD3-3FA4-4C67-A990-85090BFDEE38}" destId="{16970616-A6D0-4223-8C4C-744D3A5B7343}" srcOrd="1" destOrd="0" parTransId="{5B3FFFD8-D225-46E8-ACEB-3DB5BC89418D}" sibTransId="{537D0755-C0F6-4F95-A4D5-EF4E439D5F91}"/>
    <dgm:cxn modelId="{764D26CC-DCB1-4FDE-9E9A-52D3EE432F9F}" type="presOf" srcId="{978011C8-33F9-4BC5-8ACF-5CDD796CE467}" destId="{FF53C166-73FE-4790-A6EB-EFE7C5FD582D}" srcOrd="1" destOrd="0" presId="urn:microsoft.com/office/officeart/2005/8/layout/orgChart1"/>
    <dgm:cxn modelId="{6C3E46EA-AF4E-43E6-9E3C-44A4DCAC3EC7}" type="presOf" srcId="{EDCD4CD3-3FA4-4C67-A990-85090BFDEE38}" destId="{4CFAB571-BBEA-47AB-859F-72FAE78C8E0D}" srcOrd="0" destOrd="0" presId="urn:microsoft.com/office/officeart/2005/8/layout/orgChart1"/>
    <dgm:cxn modelId="{3D4E1C23-EED6-43E3-BE1E-09B7A1513AA9}" type="presOf" srcId="{06D9CFD5-D4E5-468C-A122-F8A1330232B2}" destId="{6740F0E3-8602-48AD-97F0-3D6BE02DE848}" srcOrd="0" destOrd="0" presId="urn:microsoft.com/office/officeart/2005/8/layout/orgChart1"/>
    <dgm:cxn modelId="{41240093-D7F7-41AB-8A8C-02DD0FA587B7}" type="presOf" srcId="{3D23BD2E-A335-4620-ACAC-0772D08DA1B7}" destId="{94594A4A-563E-4205-9A9B-8B3442F62916}" srcOrd="1" destOrd="0" presId="urn:microsoft.com/office/officeart/2005/8/layout/orgChart1"/>
    <dgm:cxn modelId="{D318C23B-A57F-409A-9B36-730133CC3A2F}" type="presOf" srcId="{16970616-A6D0-4223-8C4C-744D3A5B7343}" destId="{099D8DDA-C08D-4B17-9C1D-1ACBD7DA70AF}" srcOrd="0" destOrd="0" presId="urn:microsoft.com/office/officeart/2005/8/layout/orgChart1"/>
    <dgm:cxn modelId="{D4DA1106-7E0A-41B3-BD58-DE50A9C0CCE0}" type="presOf" srcId="{16970616-A6D0-4223-8C4C-744D3A5B7343}" destId="{2C627F40-CDFA-4A4C-9C2C-62A6A68ADD9B}" srcOrd="1" destOrd="0" presId="urn:microsoft.com/office/officeart/2005/8/layout/orgChart1"/>
    <dgm:cxn modelId="{A74036D1-84FC-43DB-B52C-FC509916DEED}" type="presOf" srcId="{EA17EEA3-8625-43B4-B01D-594F51558407}" destId="{F59522B1-4A3B-46BE-9902-8A13A031E358}" srcOrd="0" destOrd="0" presId="urn:microsoft.com/office/officeart/2005/8/layout/orgChart1"/>
    <dgm:cxn modelId="{BB07AB9F-6A71-4D29-8B29-7281FB6ABFD0}" type="presOf" srcId="{5B3FFFD8-D225-46E8-ACEB-3DB5BC89418D}" destId="{27422548-6A93-4664-B4F8-E12E552BA3A1}" srcOrd="0" destOrd="0" presId="urn:microsoft.com/office/officeart/2005/8/layout/orgChart1"/>
    <dgm:cxn modelId="{74F0F6D8-C23F-470C-9756-016892994E91}" type="presOf" srcId="{626506E2-DC84-4C1F-8E04-01E943BF0960}" destId="{0FCE801D-FC67-4BFC-97EB-C51B05398E7D}" srcOrd="0" destOrd="0" presId="urn:microsoft.com/office/officeart/2005/8/layout/orgChart1"/>
    <dgm:cxn modelId="{C4E734CD-8860-4B8C-BC4B-0EC1CDFA351E}" type="presParOf" srcId="{0FCE801D-FC67-4BFC-97EB-C51B05398E7D}" destId="{CF6EB9FF-B775-4F5E-B5FE-334CC50008E1}" srcOrd="0" destOrd="0" presId="urn:microsoft.com/office/officeart/2005/8/layout/orgChart1"/>
    <dgm:cxn modelId="{C99FBD19-4074-4217-9E3E-3B08FDB6029B}" type="presParOf" srcId="{CF6EB9FF-B775-4F5E-B5FE-334CC50008E1}" destId="{1128E223-6A5A-4176-B82D-1A34E7152BC4}" srcOrd="0" destOrd="0" presId="urn:microsoft.com/office/officeart/2005/8/layout/orgChart1"/>
    <dgm:cxn modelId="{0B9B3E99-1891-433B-9DC4-CEB9B8193B0B}" type="presParOf" srcId="{1128E223-6A5A-4176-B82D-1A34E7152BC4}" destId="{AFC2B0CC-13EA-4522-80CF-BD879A7BE140}" srcOrd="0" destOrd="0" presId="urn:microsoft.com/office/officeart/2005/8/layout/orgChart1"/>
    <dgm:cxn modelId="{FD8135FC-B592-46A5-A485-4B07B31822C3}" type="presParOf" srcId="{1128E223-6A5A-4176-B82D-1A34E7152BC4}" destId="{FF53C166-73FE-4790-A6EB-EFE7C5FD582D}" srcOrd="1" destOrd="0" presId="urn:microsoft.com/office/officeart/2005/8/layout/orgChart1"/>
    <dgm:cxn modelId="{69024683-13B9-4109-8780-865B51600CE0}" type="presParOf" srcId="{CF6EB9FF-B775-4F5E-B5FE-334CC50008E1}" destId="{D0C6CE53-B594-4753-AD1D-15A05C67479B}" srcOrd="1" destOrd="0" presId="urn:microsoft.com/office/officeart/2005/8/layout/orgChart1"/>
    <dgm:cxn modelId="{F6EAF0EB-F56A-4FDA-8407-2C60302F252F}" type="presParOf" srcId="{D0C6CE53-B594-4753-AD1D-15A05C67479B}" destId="{B68B99C2-7E31-4DCE-9BEB-DD1F0B349E37}" srcOrd="0" destOrd="0" presId="urn:microsoft.com/office/officeart/2005/8/layout/orgChart1"/>
    <dgm:cxn modelId="{6CB37C02-8B62-47CD-9758-0662A43A868D}" type="presParOf" srcId="{D0C6CE53-B594-4753-AD1D-15A05C67479B}" destId="{C601644E-1AE6-4D84-BC46-CB7237C498F2}" srcOrd="1" destOrd="0" presId="urn:microsoft.com/office/officeart/2005/8/layout/orgChart1"/>
    <dgm:cxn modelId="{618D7F93-BAD5-471C-A563-66277B3512C7}" type="presParOf" srcId="{C601644E-1AE6-4D84-BC46-CB7237C498F2}" destId="{E9C4CD7A-0DFA-49D6-B9C2-43ECF293A899}" srcOrd="0" destOrd="0" presId="urn:microsoft.com/office/officeart/2005/8/layout/orgChart1"/>
    <dgm:cxn modelId="{092CB17E-11B8-4CA6-8D16-AC295AA0F767}" type="presParOf" srcId="{E9C4CD7A-0DFA-49D6-B9C2-43ECF293A899}" destId="{4CFAB571-BBEA-47AB-859F-72FAE78C8E0D}" srcOrd="0" destOrd="0" presId="urn:microsoft.com/office/officeart/2005/8/layout/orgChart1"/>
    <dgm:cxn modelId="{3EBAB869-23FB-44B2-954D-4AD87F903DE0}" type="presParOf" srcId="{E9C4CD7A-0DFA-49D6-B9C2-43ECF293A899}" destId="{AAC990B2-7164-4B5B-A1F7-66D8D57553AB}" srcOrd="1" destOrd="0" presId="urn:microsoft.com/office/officeart/2005/8/layout/orgChart1"/>
    <dgm:cxn modelId="{54BBC06D-D1BC-4C22-955A-9434AF4CA74C}" type="presParOf" srcId="{C601644E-1AE6-4D84-BC46-CB7237C498F2}" destId="{98BF9540-8F3B-4713-B85F-A83FF9C08FF6}" srcOrd="1" destOrd="0" presId="urn:microsoft.com/office/officeart/2005/8/layout/orgChart1"/>
    <dgm:cxn modelId="{D877BBB4-284D-4750-95E1-F4D321215F84}" type="presParOf" srcId="{98BF9540-8F3B-4713-B85F-A83FF9C08FF6}" destId="{6740F0E3-8602-48AD-97F0-3D6BE02DE848}" srcOrd="0" destOrd="0" presId="urn:microsoft.com/office/officeart/2005/8/layout/orgChart1"/>
    <dgm:cxn modelId="{E4917C72-7611-41A0-8D48-C69EB4466E15}" type="presParOf" srcId="{98BF9540-8F3B-4713-B85F-A83FF9C08FF6}" destId="{6294F9E6-946B-46DA-965D-C79A78123C35}" srcOrd="1" destOrd="0" presId="urn:microsoft.com/office/officeart/2005/8/layout/orgChart1"/>
    <dgm:cxn modelId="{1E1837A8-8D5D-469F-95DA-6DD9DCF56290}" type="presParOf" srcId="{6294F9E6-946B-46DA-965D-C79A78123C35}" destId="{AE9B1441-A514-4E93-81AB-02598EA62A33}" srcOrd="0" destOrd="0" presId="urn:microsoft.com/office/officeart/2005/8/layout/orgChart1"/>
    <dgm:cxn modelId="{624478EF-7234-48C3-A074-11D00D300CC2}" type="presParOf" srcId="{AE9B1441-A514-4E93-81AB-02598EA62A33}" destId="{1BF0101B-A9DF-46A3-BF97-2AE8902CC0BF}" srcOrd="0" destOrd="0" presId="urn:microsoft.com/office/officeart/2005/8/layout/orgChart1"/>
    <dgm:cxn modelId="{805D9423-9DE0-404D-8507-51E3A5B9266C}" type="presParOf" srcId="{AE9B1441-A514-4E93-81AB-02598EA62A33}" destId="{94594A4A-563E-4205-9A9B-8B3442F62916}" srcOrd="1" destOrd="0" presId="urn:microsoft.com/office/officeart/2005/8/layout/orgChart1"/>
    <dgm:cxn modelId="{D35FBEEA-D12F-46F6-990C-1F568B753631}" type="presParOf" srcId="{6294F9E6-946B-46DA-965D-C79A78123C35}" destId="{0619EEF1-C6F7-4B2A-B5FF-E781460E5046}" srcOrd="1" destOrd="0" presId="urn:microsoft.com/office/officeart/2005/8/layout/orgChart1"/>
    <dgm:cxn modelId="{3DA8E728-7F9A-495B-9C34-EB5E0D7BE305}" type="presParOf" srcId="{6294F9E6-946B-46DA-965D-C79A78123C35}" destId="{DB01FCE9-98FD-46A4-90A4-EC168BC3C690}" srcOrd="2" destOrd="0" presId="urn:microsoft.com/office/officeart/2005/8/layout/orgChart1"/>
    <dgm:cxn modelId="{AA705882-0C60-4EE1-A6D7-63B965F3E896}" type="presParOf" srcId="{98BF9540-8F3B-4713-B85F-A83FF9C08FF6}" destId="{27422548-6A93-4664-B4F8-E12E552BA3A1}" srcOrd="2" destOrd="0" presId="urn:microsoft.com/office/officeart/2005/8/layout/orgChart1"/>
    <dgm:cxn modelId="{0903F863-7F43-4B66-889F-20D80A321A3F}" type="presParOf" srcId="{98BF9540-8F3B-4713-B85F-A83FF9C08FF6}" destId="{FDA9A773-B9A7-4268-8D16-324FAC771584}" srcOrd="3" destOrd="0" presId="urn:microsoft.com/office/officeart/2005/8/layout/orgChart1"/>
    <dgm:cxn modelId="{EDDD99CD-A7A7-4850-A37B-89FC98C9CAED}" type="presParOf" srcId="{FDA9A773-B9A7-4268-8D16-324FAC771584}" destId="{4BE5CC41-B2F6-49A8-8B84-1F79A31FACE6}" srcOrd="0" destOrd="0" presId="urn:microsoft.com/office/officeart/2005/8/layout/orgChart1"/>
    <dgm:cxn modelId="{37983639-C819-480E-8473-BEBF3CCC8341}" type="presParOf" srcId="{4BE5CC41-B2F6-49A8-8B84-1F79A31FACE6}" destId="{099D8DDA-C08D-4B17-9C1D-1ACBD7DA70AF}" srcOrd="0" destOrd="0" presId="urn:microsoft.com/office/officeart/2005/8/layout/orgChart1"/>
    <dgm:cxn modelId="{99EE0D13-AE8A-482A-8CC0-0A11B8692E33}" type="presParOf" srcId="{4BE5CC41-B2F6-49A8-8B84-1F79A31FACE6}" destId="{2C627F40-CDFA-4A4C-9C2C-62A6A68ADD9B}" srcOrd="1" destOrd="0" presId="urn:microsoft.com/office/officeart/2005/8/layout/orgChart1"/>
    <dgm:cxn modelId="{142727E4-5926-4155-9999-348C72483933}" type="presParOf" srcId="{FDA9A773-B9A7-4268-8D16-324FAC771584}" destId="{277C6569-41F8-4F29-98D5-33079B598C19}" srcOrd="1" destOrd="0" presId="urn:microsoft.com/office/officeart/2005/8/layout/orgChart1"/>
    <dgm:cxn modelId="{4D2349D1-5707-4CD3-B293-3A28725F2329}" type="presParOf" srcId="{277C6569-41F8-4F29-98D5-33079B598C19}" destId="{8A941F9A-B63A-4CCB-B4D4-4191D626683B}" srcOrd="0" destOrd="0" presId="urn:microsoft.com/office/officeart/2005/8/layout/orgChart1"/>
    <dgm:cxn modelId="{9DEF5FEB-C512-42F8-93FD-58599CCC244A}" type="presParOf" srcId="{277C6569-41F8-4F29-98D5-33079B598C19}" destId="{DE72C71A-CF5B-4626-BAE7-6522CD88C67E}" srcOrd="1" destOrd="0" presId="urn:microsoft.com/office/officeart/2005/8/layout/orgChart1"/>
    <dgm:cxn modelId="{15958233-C775-4959-9200-9C06C67EDD92}" type="presParOf" srcId="{DE72C71A-CF5B-4626-BAE7-6522CD88C67E}" destId="{EDBF58FD-6042-4EAC-A820-3F2D60939BD1}" srcOrd="0" destOrd="0" presId="urn:microsoft.com/office/officeart/2005/8/layout/orgChart1"/>
    <dgm:cxn modelId="{E1D5ECD4-BCFA-466A-8ADD-93B8948FFE23}" type="presParOf" srcId="{EDBF58FD-6042-4EAC-A820-3F2D60939BD1}" destId="{F59522B1-4A3B-46BE-9902-8A13A031E358}" srcOrd="0" destOrd="0" presId="urn:microsoft.com/office/officeart/2005/8/layout/orgChart1"/>
    <dgm:cxn modelId="{3D23C5C0-F55D-4E08-B9DF-AF07540B6A89}" type="presParOf" srcId="{EDBF58FD-6042-4EAC-A820-3F2D60939BD1}" destId="{F19554BB-DEBA-4823-BDEC-49A98F82D605}" srcOrd="1" destOrd="0" presId="urn:microsoft.com/office/officeart/2005/8/layout/orgChart1"/>
    <dgm:cxn modelId="{51B8FB8F-7134-4FE3-9C57-7E996189AC1A}" type="presParOf" srcId="{DE72C71A-CF5B-4626-BAE7-6522CD88C67E}" destId="{44EAF812-7846-4F0A-AB9A-6D20F9F10093}" srcOrd="1" destOrd="0" presId="urn:microsoft.com/office/officeart/2005/8/layout/orgChart1"/>
    <dgm:cxn modelId="{3CE958FA-4857-43DF-A9B0-C7761ED1D80E}" type="presParOf" srcId="{DE72C71A-CF5B-4626-BAE7-6522CD88C67E}" destId="{26DDF011-69F4-404E-98CF-D907302D6EC7}" srcOrd="2" destOrd="0" presId="urn:microsoft.com/office/officeart/2005/8/layout/orgChart1"/>
    <dgm:cxn modelId="{A8EB4252-8DBC-4FCA-A54D-DC1C5023A35E}" type="presParOf" srcId="{FDA9A773-B9A7-4268-8D16-324FAC771584}" destId="{ACC713EE-520B-48DA-9B2D-8E3F81EDEC6E}" srcOrd="2" destOrd="0" presId="urn:microsoft.com/office/officeart/2005/8/layout/orgChart1"/>
    <dgm:cxn modelId="{F72F517F-78D9-47CF-BFD1-378E9820B834}" type="presParOf" srcId="{C601644E-1AE6-4D84-BC46-CB7237C498F2}" destId="{B6944F20-C679-4D47-9D23-79032A9DC31F}" srcOrd="2" destOrd="0" presId="urn:microsoft.com/office/officeart/2005/8/layout/orgChart1"/>
    <dgm:cxn modelId="{A1410D17-E9E5-4A45-B05B-E91C4272EAED}" type="presParOf" srcId="{CF6EB9FF-B775-4F5E-B5FE-334CC50008E1}" destId="{70159EE1-261C-43DD-B905-2F90186551F0}" srcOrd="2" destOrd="0" presId="urn:microsoft.com/office/officeart/2005/8/layout/orgChart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A941F9A-B63A-4CCB-B4D4-4191D626683B}">
      <dsp:nvSpPr>
        <dsp:cNvPr id="0" name=""/>
        <dsp:cNvSpPr/>
      </dsp:nvSpPr>
      <dsp:spPr>
        <a:xfrm>
          <a:off x="2196794" y="2553062"/>
          <a:ext cx="199362" cy="611378"/>
        </a:xfrm>
        <a:custGeom>
          <a:avLst/>
          <a:gdLst/>
          <a:ahLst/>
          <a:cxnLst/>
          <a:rect l="0" t="0" r="0" b="0"/>
          <a:pathLst>
            <a:path>
              <a:moveTo>
                <a:pt x="0" y="0"/>
              </a:moveTo>
              <a:lnTo>
                <a:pt x="0" y="723010"/>
              </a:lnTo>
              <a:lnTo>
                <a:pt x="235764" y="723010"/>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7422548-6A93-4664-B4F8-E12E552BA3A1}">
      <dsp:nvSpPr>
        <dsp:cNvPr id="0" name=""/>
        <dsp:cNvSpPr/>
      </dsp:nvSpPr>
      <dsp:spPr>
        <a:xfrm>
          <a:off x="1924332" y="1609412"/>
          <a:ext cx="804096" cy="279107"/>
        </a:xfrm>
        <a:custGeom>
          <a:avLst/>
          <a:gdLst/>
          <a:ahLst/>
          <a:cxnLst/>
          <a:rect l="0" t="0" r="0" b="0"/>
          <a:pathLst>
            <a:path>
              <a:moveTo>
                <a:pt x="0" y="0"/>
              </a:moveTo>
              <a:lnTo>
                <a:pt x="0" y="165034"/>
              </a:lnTo>
              <a:lnTo>
                <a:pt x="950915" y="165034"/>
              </a:lnTo>
              <a:lnTo>
                <a:pt x="950915" y="33006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740F0E3-8602-48AD-97F0-3D6BE02DE848}">
      <dsp:nvSpPr>
        <dsp:cNvPr id="0" name=""/>
        <dsp:cNvSpPr/>
      </dsp:nvSpPr>
      <dsp:spPr>
        <a:xfrm>
          <a:off x="1120235" y="1609412"/>
          <a:ext cx="804096" cy="279107"/>
        </a:xfrm>
        <a:custGeom>
          <a:avLst/>
          <a:gdLst/>
          <a:ahLst/>
          <a:cxnLst/>
          <a:rect l="0" t="0" r="0" b="0"/>
          <a:pathLst>
            <a:path>
              <a:moveTo>
                <a:pt x="950915" y="0"/>
              </a:moveTo>
              <a:lnTo>
                <a:pt x="950915" y="165034"/>
              </a:lnTo>
              <a:lnTo>
                <a:pt x="0" y="165034"/>
              </a:lnTo>
              <a:lnTo>
                <a:pt x="0" y="330069"/>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68B99C2-7E31-4DCE-9BEB-DD1F0B349E37}">
      <dsp:nvSpPr>
        <dsp:cNvPr id="0" name=""/>
        <dsp:cNvSpPr/>
      </dsp:nvSpPr>
      <dsp:spPr>
        <a:xfrm>
          <a:off x="1878612" y="665762"/>
          <a:ext cx="91440" cy="279107"/>
        </a:xfrm>
        <a:custGeom>
          <a:avLst/>
          <a:gdLst/>
          <a:ahLst/>
          <a:cxnLst/>
          <a:rect l="0" t="0" r="0" b="0"/>
          <a:pathLst>
            <a:path>
              <a:moveTo>
                <a:pt x="45720" y="0"/>
              </a:moveTo>
              <a:lnTo>
                <a:pt x="45720" y="330068"/>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AFC2B0CC-13EA-4522-80CF-BD879A7BE140}">
      <dsp:nvSpPr>
        <dsp:cNvPr id="0" name=""/>
        <dsp:cNvSpPr/>
      </dsp:nvSpPr>
      <dsp:spPr>
        <a:xfrm>
          <a:off x="1259789" y="1219"/>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Совет директоров</a:t>
          </a:r>
          <a:endParaRPr lang="ru-RU" sz="1000" kern="1200" dirty="0">
            <a:solidFill>
              <a:sysClr val="window" lastClr="FFFFFF"/>
            </a:solidFill>
            <a:latin typeface="Times New Roman" panose="02020603050405020304" pitchFamily="18" charset="0"/>
            <a:ea typeface="+mn-ea"/>
            <a:cs typeface="Times New Roman" panose="02020603050405020304" pitchFamily="18" charset="0"/>
          </a:endParaRPr>
        </a:p>
      </dsp:txBody>
      <dsp:txXfrm>
        <a:off x="1259789" y="1219"/>
        <a:ext cx="1329084" cy="664542"/>
      </dsp:txXfrm>
    </dsp:sp>
    <dsp:sp modelId="{4CFAB571-BBEA-47AB-859F-72FAE78C8E0D}">
      <dsp:nvSpPr>
        <dsp:cNvPr id="0" name=""/>
        <dsp:cNvSpPr/>
      </dsp:nvSpPr>
      <dsp:spPr>
        <a:xfrm>
          <a:off x="1126203" y="944870"/>
          <a:ext cx="1596257"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Единоличный исполнительный орган (Генеральный директор)</a:t>
          </a:r>
          <a:endParaRPr lang="ru-RU" sz="1000" kern="1200" dirty="0">
            <a:solidFill>
              <a:sysClr val="window" lastClr="FFFFFF"/>
            </a:solidFill>
            <a:latin typeface="Times New Roman" panose="02020603050405020304" pitchFamily="18" charset="0"/>
            <a:ea typeface="+mn-ea"/>
            <a:cs typeface="Times New Roman" panose="02020603050405020304" pitchFamily="18" charset="0"/>
          </a:endParaRPr>
        </a:p>
      </dsp:txBody>
      <dsp:txXfrm>
        <a:off x="1126203" y="944870"/>
        <a:ext cx="1596257" cy="664542"/>
      </dsp:txXfrm>
    </dsp:sp>
    <dsp:sp modelId="{1BF0101B-A9DF-46A3-BF97-2AE8902CC0BF}">
      <dsp:nvSpPr>
        <dsp:cNvPr id="0" name=""/>
        <dsp:cNvSpPr/>
      </dsp:nvSpPr>
      <dsp:spPr>
        <a:xfrm>
          <a:off x="455693" y="1888520"/>
          <a:ext cx="1329084" cy="859180"/>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 Руководители блоков и структурных подразделений</a:t>
          </a:r>
        </a:p>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 Исполнители контрольных процедур</a:t>
          </a:r>
          <a:endParaRPr lang="ru-RU" sz="1000" kern="1200" dirty="0">
            <a:solidFill>
              <a:sysClr val="window" lastClr="FFFFFF"/>
            </a:solidFill>
            <a:latin typeface="Times New Roman" panose="02020603050405020304" pitchFamily="18" charset="0"/>
            <a:ea typeface="+mn-ea"/>
            <a:cs typeface="Times New Roman" panose="02020603050405020304" pitchFamily="18" charset="0"/>
          </a:endParaRPr>
        </a:p>
      </dsp:txBody>
      <dsp:txXfrm>
        <a:off x="455693" y="1888520"/>
        <a:ext cx="1329084" cy="859180"/>
      </dsp:txXfrm>
    </dsp:sp>
    <dsp:sp modelId="{099D8DDA-C08D-4B17-9C1D-1ACBD7DA70AF}">
      <dsp:nvSpPr>
        <dsp:cNvPr id="0" name=""/>
        <dsp:cNvSpPr/>
      </dsp:nvSpPr>
      <dsp:spPr>
        <a:xfrm>
          <a:off x="2063886" y="1888520"/>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Финансово-экономический департамент</a:t>
          </a:r>
          <a:endParaRPr lang="ru-RU" sz="1000" kern="1200" dirty="0">
            <a:solidFill>
              <a:sysClr val="window" lastClr="FFFFFF"/>
            </a:solidFill>
            <a:latin typeface="Times New Roman" panose="02020603050405020304" pitchFamily="18" charset="0"/>
            <a:ea typeface="+mn-ea"/>
            <a:cs typeface="Times New Roman" panose="02020603050405020304" pitchFamily="18" charset="0"/>
          </a:endParaRPr>
        </a:p>
      </dsp:txBody>
      <dsp:txXfrm>
        <a:off x="2063886" y="1888520"/>
        <a:ext cx="1329084" cy="664542"/>
      </dsp:txXfrm>
    </dsp:sp>
    <dsp:sp modelId="{F59522B1-4A3B-46BE-9902-8A13A031E358}">
      <dsp:nvSpPr>
        <dsp:cNvPr id="0" name=""/>
        <dsp:cNvSpPr/>
      </dsp:nvSpPr>
      <dsp:spPr>
        <a:xfrm>
          <a:off x="2396157" y="2832170"/>
          <a:ext cx="1329084" cy="664542"/>
        </a:xfrm>
        <a:prstGeom prst="rect">
          <a:avLst/>
        </a:prstGeom>
        <a:solidFill>
          <a:srgbClr val="4F81BD">
            <a:hueOff val="0"/>
            <a:satOff val="0"/>
            <a:lumOff val="0"/>
            <a:alphaOff val="0"/>
          </a:srgbClr>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ru-RU" sz="1000" kern="1200" dirty="0" smtClean="0">
              <a:solidFill>
                <a:sysClr val="window" lastClr="FFFFFF"/>
              </a:solidFill>
              <a:latin typeface="Times New Roman" panose="02020603050405020304" pitchFamily="18" charset="0"/>
              <a:ea typeface="+mn-ea"/>
              <a:cs typeface="Times New Roman" panose="02020603050405020304" pitchFamily="18" charset="0"/>
            </a:rPr>
            <a:t>Отдел внутреннего аудита</a:t>
          </a:r>
          <a:endParaRPr lang="ru-RU" sz="1000" kern="1200" dirty="0">
            <a:solidFill>
              <a:sysClr val="window" lastClr="FFFFFF"/>
            </a:solidFill>
            <a:latin typeface="Times New Roman" panose="02020603050405020304" pitchFamily="18" charset="0"/>
            <a:ea typeface="+mn-ea"/>
            <a:cs typeface="Times New Roman" panose="02020603050405020304" pitchFamily="18" charset="0"/>
          </a:endParaRPr>
        </a:p>
      </dsp:txBody>
      <dsp:txXfrm>
        <a:off x="2396157" y="2832170"/>
        <a:ext cx="1329084" cy="66454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0.32484</cdr:x>
      <cdr:y>0.28221</cdr:y>
    </cdr:from>
    <cdr:to>
      <cdr:x>0.41368</cdr:x>
      <cdr:y>0.33976</cdr:y>
    </cdr:to>
    <cdr:sp macro="" textlink="">
      <cdr:nvSpPr>
        <cdr:cNvPr id="2" name="Поле 1"/>
        <cdr:cNvSpPr txBox="1"/>
      </cdr:nvSpPr>
      <cdr:spPr>
        <a:xfrm xmlns:a="http://schemas.openxmlformats.org/drawingml/2006/main">
          <a:off x="1931935" y="951028"/>
          <a:ext cx="528368" cy="19396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l" rtl="0">
            <a:defRPr sz="1000"/>
          </a:pPr>
          <a:r>
            <a:rPr lang="ru-RU" sz="900" b="0" i="0" u="none" strike="noStrike" baseline="0">
              <a:solidFill>
                <a:srgbClr val="FF0000"/>
              </a:solidFill>
              <a:latin typeface="Times New Roman"/>
              <a:cs typeface="Times New Roman"/>
            </a:rPr>
            <a:t>-13%</a:t>
          </a:r>
        </a:p>
      </cdr:txBody>
    </cdr:sp>
  </cdr:relSizeAnchor>
  <cdr:relSizeAnchor xmlns:cdr="http://schemas.openxmlformats.org/drawingml/2006/chartDrawing">
    <cdr:from>
      <cdr:x>0.27303</cdr:x>
      <cdr:y>0.57488</cdr:y>
    </cdr:from>
    <cdr:to>
      <cdr:x>0.33245</cdr:x>
      <cdr:y>0.6519</cdr:y>
    </cdr:to>
    <cdr:sp macro="" textlink="">
      <cdr:nvSpPr>
        <cdr:cNvPr id="5" name="Поле 1"/>
        <cdr:cNvSpPr txBox="1"/>
      </cdr:nvSpPr>
      <cdr:spPr>
        <a:xfrm xmlns:a="http://schemas.openxmlformats.org/drawingml/2006/main">
          <a:off x="1497938" y="1839842"/>
          <a:ext cx="326003" cy="246491"/>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0.46147</cdr:x>
      <cdr:y>0.2838</cdr:y>
    </cdr:from>
    <cdr:to>
      <cdr:x>0.5321</cdr:x>
      <cdr:y>0.34531</cdr:y>
    </cdr:to>
    <cdr:sp macro="" textlink="">
      <cdr:nvSpPr>
        <cdr:cNvPr id="6" name="Поле 1"/>
        <cdr:cNvSpPr txBox="1"/>
      </cdr:nvSpPr>
      <cdr:spPr>
        <a:xfrm xmlns:a="http://schemas.openxmlformats.org/drawingml/2006/main">
          <a:off x="2744547" y="956386"/>
          <a:ext cx="420072" cy="20728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algn="l" rtl="0">
            <a:defRPr sz="1000"/>
          </a:pPr>
          <a:r>
            <a:rPr lang="ru-RU" sz="900" b="0" i="0" u="none" strike="noStrike" baseline="0">
              <a:solidFill>
                <a:srgbClr val="FF0000"/>
              </a:solidFill>
              <a:latin typeface="Times New Roman"/>
              <a:cs typeface="Times New Roman"/>
            </a:rPr>
            <a:t>+1%</a:t>
          </a:r>
        </a:p>
      </cdr:txBody>
    </cdr:sp>
  </cdr:relSizeAnchor>
  <cdr:relSizeAnchor xmlns:cdr="http://schemas.openxmlformats.org/drawingml/2006/chartDrawing">
    <cdr:from>
      <cdr:x>0.598</cdr:x>
      <cdr:y>0.14255</cdr:y>
    </cdr:from>
    <cdr:to>
      <cdr:x>0.6811</cdr:x>
      <cdr:y>0.20565</cdr:y>
    </cdr:to>
    <cdr:sp macro="" textlink="">
      <cdr:nvSpPr>
        <cdr:cNvPr id="7" name="Поле 1"/>
        <cdr:cNvSpPr txBox="1"/>
      </cdr:nvSpPr>
      <cdr:spPr>
        <a:xfrm xmlns:a="http://schemas.openxmlformats.org/drawingml/2006/main">
          <a:off x="3556525" y="480398"/>
          <a:ext cx="494229" cy="21264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algn="l" rtl="0">
            <a:defRPr sz="1000"/>
          </a:pPr>
          <a:r>
            <a:rPr lang="ru-RU" sz="900" b="0" i="0" u="none" strike="noStrike" baseline="0">
              <a:solidFill>
                <a:srgbClr val="FF0000"/>
              </a:solidFill>
              <a:latin typeface="Times New Roman"/>
              <a:cs typeface="Times New Roman"/>
            </a:rPr>
            <a:t>+30%</a:t>
          </a:r>
        </a:p>
      </cdr:txBody>
    </cdr:sp>
  </cdr:relSizeAnchor>
  <cdr:relSizeAnchor xmlns:cdr="http://schemas.openxmlformats.org/drawingml/2006/chartDrawing">
    <cdr:from>
      <cdr:x>0.18796</cdr:x>
      <cdr:y>0.18991</cdr:y>
    </cdr:from>
    <cdr:to>
      <cdr:x>0.27197</cdr:x>
      <cdr:y>0.24866</cdr:y>
    </cdr:to>
    <cdr:sp macro="" textlink="">
      <cdr:nvSpPr>
        <cdr:cNvPr id="9" name="Поле 1"/>
        <cdr:cNvSpPr txBox="1"/>
      </cdr:nvSpPr>
      <cdr:spPr>
        <a:xfrm xmlns:a="http://schemas.openxmlformats.org/drawingml/2006/main">
          <a:off x="1117882" y="639972"/>
          <a:ext cx="499642" cy="197984"/>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algn="l" rtl="0">
            <a:defRPr sz="1000"/>
          </a:pPr>
          <a:r>
            <a:rPr lang="ru-RU" sz="900" b="0" i="0" u="none" strike="noStrike" baseline="0">
              <a:solidFill>
                <a:srgbClr val="FF0000"/>
              </a:solidFill>
              <a:latin typeface="Times New Roman"/>
              <a:cs typeface="Times New Roman"/>
            </a:rPr>
            <a:t>+15%</a:t>
          </a:r>
        </a:p>
      </cdr:txBody>
    </cdr:sp>
  </cdr:relSizeAnchor>
  <cdr:relSizeAnchor xmlns:cdr="http://schemas.openxmlformats.org/drawingml/2006/chartDrawing">
    <cdr:from>
      <cdr:x>0.8677</cdr:x>
      <cdr:y>0</cdr:y>
    </cdr:from>
    <cdr:to>
      <cdr:x>0.9519</cdr:x>
      <cdr:y>0.07196</cdr:y>
    </cdr:to>
    <cdr:sp macro="" textlink="">
      <cdr:nvSpPr>
        <cdr:cNvPr id="10" name="Поле 1"/>
        <cdr:cNvSpPr txBox="1"/>
      </cdr:nvSpPr>
      <cdr:spPr>
        <a:xfrm xmlns:a="http://schemas.openxmlformats.org/drawingml/2006/main">
          <a:off x="5160563" y="-723569"/>
          <a:ext cx="500767" cy="24250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b="1">
              <a:latin typeface="Times New Roman" pitchFamily="18" charset="0"/>
              <a:cs typeface="Times New Roman" pitchFamily="18" charset="0"/>
            </a:rPr>
            <a:t>3 991</a:t>
          </a:r>
        </a:p>
      </cdr:txBody>
    </cdr:sp>
  </cdr:relSizeAnchor>
  <cdr:relSizeAnchor xmlns:cdr="http://schemas.openxmlformats.org/drawingml/2006/chartDrawing">
    <cdr:from>
      <cdr:x>0.18326</cdr:x>
      <cdr:y>0.238</cdr:y>
    </cdr:from>
    <cdr:to>
      <cdr:x>0.27838</cdr:x>
      <cdr:y>0.31848</cdr:y>
    </cdr:to>
    <cdr:sp macro="" textlink="">
      <cdr:nvSpPr>
        <cdr:cNvPr id="11" name="Поле 1"/>
        <cdr:cNvSpPr txBox="1"/>
      </cdr:nvSpPr>
      <cdr:spPr>
        <a:xfrm xmlns:a="http://schemas.openxmlformats.org/drawingml/2006/main">
          <a:off x="1089926" y="802031"/>
          <a:ext cx="565718" cy="27121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b="1">
              <a:latin typeface="Times New Roman" pitchFamily="18" charset="0"/>
              <a:cs typeface="Times New Roman" pitchFamily="18" charset="0"/>
            </a:rPr>
            <a:t>2 527</a:t>
          </a:r>
        </a:p>
      </cdr:txBody>
    </cdr:sp>
  </cdr:relSizeAnchor>
  <cdr:relSizeAnchor xmlns:cdr="http://schemas.openxmlformats.org/drawingml/2006/chartDrawing">
    <cdr:from>
      <cdr:x>0.32282</cdr:x>
      <cdr:y>0.33249</cdr:y>
    </cdr:from>
    <cdr:to>
      <cdr:x>0.41381</cdr:x>
      <cdr:y>0.40292</cdr:y>
    </cdr:to>
    <cdr:sp macro="" textlink="">
      <cdr:nvSpPr>
        <cdr:cNvPr id="12" name="Поле 1"/>
        <cdr:cNvSpPr txBox="1"/>
      </cdr:nvSpPr>
      <cdr:spPr>
        <a:xfrm xmlns:a="http://schemas.openxmlformats.org/drawingml/2006/main">
          <a:off x="1919941" y="1120470"/>
          <a:ext cx="541155" cy="23734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b="1">
              <a:latin typeface="Times New Roman" pitchFamily="18" charset="0"/>
              <a:cs typeface="Times New Roman" pitchFamily="18" charset="0"/>
            </a:rPr>
            <a:t>2 209</a:t>
          </a:r>
        </a:p>
      </cdr:txBody>
    </cdr:sp>
  </cdr:relSizeAnchor>
  <cdr:relSizeAnchor xmlns:cdr="http://schemas.openxmlformats.org/drawingml/2006/chartDrawing">
    <cdr:from>
      <cdr:x>0.45175</cdr:x>
      <cdr:y>0.3319</cdr:y>
    </cdr:from>
    <cdr:to>
      <cdr:x>0.54791</cdr:x>
      <cdr:y>0.39875</cdr:y>
    </cdr:to>
    <cdr:sp macro="" textlink="">
      <cdr:nvSpPr>
        <cdr:cNvPr id="13" name="Поле 1"/>
        <cdr:cNvSpPr txBox="1"/>
      </cdr:nvSpPr>
      <cdr:spPr>
        <a:xfrm xmlns:a="http://schemas.openxmlformats.org/drawingml/2006/main">
          <a:off x="2686753" y="1118475"/>
          <a:ext cx="571903" cy="225295"/>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b="1">
              <a:latin typeface="Times New Roman" pitchFamily="18" charset="0"/>
              <a:cs typeface="Times New Roman" pitchFamily="18" charset="0"/>
            </a:rPr>
            <a:t>2 232</a:t>
          </a:r>
        </a:p>
      </cdr:txBody>
    </cdr:sp>
  </cdr:relSizeAnchor>
  <cdr:relSizeAnchor xmlns:cdr="http://schemas.openxmlformats.org/drawingml/2006/chartDrawing">
    <cdr:from>
      <cdr:x>0.59388</cdr:x>
      <cdr:y>0.18755</cdr:y>
    </cdr:from>
    <cdr:to>
      <cdr:x>0.67783</cdr:x>
      <cdr:y>0.26012</cdr:y>
    </cdr:to>
    <cdr:sp macro="" textlink="">
      <cdr:nvSpPr>
        <cdr:cNvPr id="14" name="Поле 1"/>
        <cdr:cNvSpPr txBox="1"/>
      </cdr:nvSpPr>
      <cdr:spPr>
        <a:xfrm xmlns:a="http://schemas.openxmlformats.org/drawingml/2006/main">
          <a:off x="3532021" y="632021"/>
          <a:ext cx="499290" cy="244557"/>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b="1">
              <a:latin typeface="Times New Roman" pitchFamily="18" charset="0"/>
              <a:cs typeface="Times New Roman" pitchFamily="18" charset="0"/>
            </a:rPr>
            <a:t>2 901</a:t>
          </a:r>
        </a:p>
      </cdr:txBody>
    </cdr:sp>
  </cdr:relSizeAnchor>
  <cdr:relSizeAnchor xmlns:cdr="http://schemas.openxmlformats.org/drawingml/2006/chartDrawing">
    <cdr:from>
      <cdr:x>0.39332</cdr:x>
      <cdr:y>0.51525</cdr:y>
    </cdr:from>
    <cdr:to>
      <cdr:x>0.45274</cdr:x>
      <cdr:y>0.59227</cdr:y>
    </cdr:to>
    <cdr:sp macro="" textlink="">
      <cdr:nvSpPr>
        <cdr:cNvPr id="15" name="Поле 1"/>
        <cdr:cNvSpPr txBox="1"/>
      </cdr:nvSpPr>
      <cdr:spPr>
        <a:xfrm xmlns:a="http://schemas.openxmlformats.org/drawingml/2006/main">
          <a:off x="2157895" y="1649011"/>
          <a:ext cx="326003" cy="246491"/>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0.39187</cdr:x>
      <cdr:y>0.59324</cdr:y>
    </cdr:from>
    <cdr:to>
      <cdr:x>0.46779</cdr:x>
      <cdr:y>0.67025</cdr:y>
    </cdr:to>
    <cdr:sp macro="" textlink="">
      <cdr:nvSpPr>
        <cdr:cNvPr id="16" name="Поле 1"/>
        <cdr:cNvSpPr txBox="1"/>
      </cdr:nvSpPr>
      <cdr:spPr>
        <a:xfrm xmlns:a="http://schemas.openxmlformats.org/drawingml/2006/main">
          <a:off x="2149944" y="1898593"/>
          <a:ext cx="416559" cy="246491"/>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0.38808</cdr:x>
      <cdr:y>0.68861</cdr:y>
    </cdr:from>
    <cdr:to>
      <cdr:x>0.46401</cdr:x>
      <cdr:y>0.76563</cdr:y>
    </cdr:to>
    <cdr:sp macro="" textlink="">
      <cdr:nvSpPr>
        <cdr:cNvPr id="17" name="Поле 1"/>
        <cdr:cNvSpPr txBox="1"/>
      </cdr:nvSpPr>
      <cdr:spPr>
        <a:xfrm xmlns:a="http://schemas.openxmlformats.org/drawingml/2006/main">
          <a:off x="2129182" y="2203835"/>
          <a:ext cx="416559" cy="246491"/>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0.38865</cdr:x>
      <cdr:y>0.41629</cdr:y>
    </cdr:from>
    <cdr:to>
      <cdr:x>0.46457</cdr:x>
      <cdr:y>0.49331</cdr:y>
    </cdr:to>
    <cdr:sp macro="" textlink="">
      <cdr:nvSpPr>
        <cdr:cNvPr id="18" name="Поле 1"/>
        <cdr:cNvSpPr txBox="1"/>
      </cdr:nvSpPr>
      <cdr:spPr>
        <a:xfrm xmlns:a="http://schemas.openxmlformats.org/drawingml/2006/main">
          <a:off x="2132274" y="1332284"/>
          <a:ext cx="416559" cy="246491"/>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0.73118</cdr:x>
      <cdr:y>0.13812</cdr:y>
    </cdr:from>
    <cdr:to>
      <cdr:x>0.83091</cdr:x>
      <cdr:y>0.21069</cdr:y>
    </cdr:to>
    <cdr:sp macro="" textlink="">
      <cdr:nvSpPr>
        <cdr:cNvPr id="22" name="Поле 1"/>
        <cdr:cNvSpPr txBox="1"/>
      </cdr:nvSpPr>
      <cdr:spPr>
        <a:xfrm xmlns:a="http://schemas.openxmlformats.org/drawingml/2006/main">
          <a:off x="4348630" y="465470"/>
          <a:ext cx="593148" cy="244548"/>
        </a:xfrm>
        <a:prstGeom xmlns:a="http://schemas.openxmlformats.org/drawingml/2006/main" prst="rect">
          <a:avLst/>
        </a:prstGeom>
      </cdr:spPr>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FE2DE9-F524-4E8C-96DC-02CFE635A9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103</Pages>
  <Words>31876</Words>
  <Characters>181694</Characters>
  <Application>Microsoft Office Word</Application>
  <DocSecurity>4</DocSecurity>
  <Lines>1514</Lines>
  <Paragraphs>426</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213144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Shalov_Musa</dc:creator>
  <cp:lastModifiedBy>Ашба Эвелина Олеговна</cp:lastModifiedBy>
  <cp:revision>2</cp:revision>
  <dcterms:created xsi:type="dcterms:W3CDTF">2015-04-28T08:28:00Z</dcterms:created>
  <dcterms:modified xsi:type="dcterms:W3CDTF">2015-04-28T08:28:00Z</dcterms:modified>
</cp:coreProperties>
</file>