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Совещательного органа 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обеспечения эффективности закупок, </w:t>
      </w:r>
    </w:p>
    <w:p w:rsidR="00EC5242" w:rsidRDefault="00EC5242" w:rsidP="00EC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ПАО «Каббалкэнерго», в том числе 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субъектов малого</w:t>
      </w:r>
    </w:p>
    <w:p w:rsidR="00EC5242" w:rsidRDefault="00EC5242" w:rsidP="00EC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EC5242" w:rsidRDefault="00EC5242" w:rsidP="00EC52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10"/>
        <w:gridCol w:w="5927"/>
      </w:tblGrid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Шувалов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Владимир Владимирович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заместитель Генерального директора по инвестиционной деятельности ПАО «МРСК Северного Кавказа»,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Совещательного органа;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Гончаров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Андрей Александрович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заместитель главного инженера по эксплуатации ПАО «МРСК Северного Кавказа»,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заместитель председателя Совещательного органа;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Зафесов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Казбекович</w:t>
            </w:r>
            <w:proofErr w:type="spellEnd"/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директор Департамента закупочной деятельности ПАО «Россети» (по согласованию);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Куюмчев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Валерий Вениаминович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обязанности заместителя Генерального директора по экономике и финансам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Медалиев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Мухамед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Хамзетович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Генерального директора по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Решетников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Михаил Юрьевич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обязанности заместителя Генерального директора по корпоративному управлению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Циканов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br/>
              <w:t xml:space="preserve">Арсен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Махмудович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обязанности заместителя Генерального директора по реализации и развитию услуг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Харин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Иван Владимирович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начальник Департамента МТО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Темирбулатов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Аубекир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Пилялович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начальник Департамента корпоративных и технологических АСУ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Долгов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br/>
              <w:t>Артем Федорович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директор Дирекции внутреннего аудита и контроля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ПАО «МРСК Северного Кавказа»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Шишманиди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br/>
              <w:t xml:space="preserve">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Аристидович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региональной тарифной Комиссии Ставропольского края;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Крикунов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br/>
              <w:t>Алексей Иванович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 Ставропольского регионального отделения Общероссийской общественной организации «Деловая Россия»;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Абиев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Роман Витальевич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Северо-Осетинского республиканского регионального отделения Общероссийской общественной организации «Деловая Россия»;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Идрисов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Абубакар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Умарович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директор департамента энергетики министерства промышленности и энергетики Чеченской Республики;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Хамуков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Аслан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Ахмедович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начальник отдела перспективного развития энергетики и анализа инвестиционной деятельности комитета КБР по энергетике и тарифам;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Келигов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Туганович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Ингушского регионального отделения Общероссийской общественной организации «Деловая Россия»;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Кильчуков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Альберт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Изатович</w:t>
            </w:r>
            <w:proofErr w:type="spellEnd"/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регионального отделения Общественной организации «Опора России» в КБР;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C5242" w:rsidTr="00DE3FAA">
        <w:tc>
          <w:tcPr>
            <w:tcW w:w="675" w:type="dxa"/>
          </w:tcPr>
          <w:p w:rsidR="00EC5242" w:rsidRDefault="00EC5242" w:rsidP="00EC524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Фоменко</w:t>
            </w:r>
          </w:p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Никита Михайлович</w:t>
            </w:r>
          </w:p>
        </w:tc>
        <w:tc>
          <w:tcPr>
            <w:tcW w:w="310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27" w:type="dxa"/>
            <w:hideMark/>
          </w:tcPr>
          <w:p w:rsidR="00EC5242" w:rsidRDefault="00EC5242" w:rsidP="00EC524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главный эксперт по закупочной деятельности, ответственный секретарь Совещательного органа.</w:t>
            </w:r>
          </w:p>
        </w:tc>
      </w:tr>
    </w:tbl>
    <w:p w:rsidR="00EC5242" w:rsidRDefault="00EC5242" w:rsidP="00EC5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5242" w:rsidRDefault="00EC5242" w:rsidP="00EC5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5242" w:rsidRDefault="00EC5242" w:rsidP="00EC52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5242" w:rsidRDefault="00EC5242" w:rsidP="00E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директор </w:t>
      </w:r>
    </w:p>
    <w:p w:rsidR="00EC5242" w:rsidRDefault="00EC5242" w:rsidP="00E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ПАО «Каббалкэнерго»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А.И. Докшукин</w:t>
      </w:r>
    </w:p>
    <w:p w:rsidR="00EC5242" w:rsidRDefault="00EC5242" w:rsidP="00EC5242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Совещательном органе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обеспечения эффективности закупок, 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проводимых ПАО «Каббалкэнерго», в том числе у субъектов малого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EC5242" w:rsidRDefault="00EC5242" w:rsidP="00E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223-ФЗ</w:t>
      </w:r>
      <w:r>
        <w:rPr>
          <w:rFonts w:ascii="Times New Roman" w:hAnsi="Times New Roman" w:cs="Times New Roman"/>
          <w:sz w:val="28"/>
          <w:szCs w:val="28"/>
        </w:rPr>
        <w:t xml:space="preserve"> - Федеральный закон от 18.07.2011 № 223-ФЗ «О закупках товаров, работ, услуг отдельными видами юридических лиц».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– ПАО «Каббалкэнерго».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 МСП</w:t>
      </w:r>
      <w:r>
        <w:rPr>
          <w:rFonts w:ascii="Times New Roman" w:hAnsi="Times New Roman" w:cs="Times New Roman"/>
          <w:sz w:val="28"/>
          <w:szCs w:val="28"/>
        </w:rPr>
        <w:t xml:space="preserve"> – субъект малого и среднего предпринимательства.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-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(«дорожная карта») «Расширение доступа субъектов малого и среднего предпринимательства к закупкам инфраструктурных монополий и компаний с государственным участием», утвержденный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29.05.2013 N 867-р.</w:t>
      </w:r>
    </w:p>
    <w:p w:rsidR="00EC5242" w:rsidRDefault="00EC5242" w:rsidP="00EC5242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ConsPlusNormal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C5242" w:rsidRDefault="00EC5242" w:rsidP="00EC52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Совещательном органе по вопросам обеспечения эффективности закупок, проводимых ПАО «Каббалкэнерго», в том числе у субъектов малого и среднего предпринимательства, (далее – Положение) разработано на основании Дорожной карты, методических рекомендаций Минэкономразвития России от 28.11.2013 № 26231-ЕЕ/Д28 и иных нормативных правовых актов Российской Федерации.</w:t>
      </w:r>
    </w:p>
    <w:p w:rsidR="00EC5242" w:rsidRDefault="00EC5242" w:rsidP="00EC524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Совещательный орган по вопросам обеспечения эффективности проводимых Обществом закупок (далее - Совет) является консультативно-совещательным органом, призванным на основе взаимодействия с предпринимательским сообществом, некоммерческими и общественными объединениями, представителями отраслевых научных и образовательных учреждений и организаций вырабатывать меры и мероприятия, направленные на повышение эффективности закупочной деятельности Общества, увеличение доли закупок инновационной продукции для нужд Общества, в том числе за счет расширения доступа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МСП к закупкам Общества, а также осуществлять анализ реализации указанных мер и мероприятий.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имеют рекомендательный характер.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локальными нормативными документами Общества, а также настоящим Положением. 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является постоянно действующим органом. Участие в Совете осуществляется на принципах добровольности, самоуправления, гласности, самостоятельности в принятии решений в рамках компетенции.</w:t>
      </w:r>
    </w:p>
    <w:p w:rsidR="00EC5242" w:rsidRDefault="00EC5242" w:rsidP="00EC524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42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Совета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Совета являются: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передовых технологических решений при осуществлении закупочной деятельности Общества.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подходов, позволяющих экономически обоснованно развивать закупки инновационной продукции в целях увеличения доли закупок инновационной продукции и научно-исследовательских, опытно-конструкторских и технологических работ, в том числе у субъектов МСП, в общем ежегодном объеме закупок Общества.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Придание большей гласности закупочной деятельности Общества. 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конкурентной среды (развитие добросовестной конкуренции, в том числе, создание равных условий для обеспечения конкуренции среди участников закупок), позволяющей наиболее эффективно осуществлять закупочную деятельность Общества.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участию в закупках Общества большего количества субъектов МСП.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реестра надежных, квалифицированных и ответственных поставщиков продукции (товаров, работ, услуг) из числа субъектов МСП.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мероприятий, предусмотренных Дорожной картой, и содействие эффективной реализации следующих ее норм:</w:t>
      </w:r>
    </w:p>
    <w:p w:rsidR="00EC5242" w:rsidRDefault="00EC5242" w:rsidP="00EC524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общих закупок (прямые договоры и субподрядные договоры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уровня) у субъектов МСП в общем ежегодном объеме закупок Общества;</w:t>
      </w:r>
    </w:p>
    <w:p w:rsidR="00EC5242" w:rsidRDefault="00EC5242" w:rsidP="00EC524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прямых закупок (прямые договоры) у субъектов МСП в общем ежегодном объеме закупок Общества;</w:t>
      </w:r>
    </w:p>
    <w:p w:rsidR="00EC5242" w:rsidRDefault="00EC5242" w:rsidP="00EC524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закупок в электронной форме в общем ежегодном объеме закупок Общества;</w:t>
      </w:r>
    </w:p>
    <w:p w:rsidR="00EC5242" w:rsidRDefault="00EC5242" w:rsidP="00EC524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прямых закупок инновационной продукции (товаров, работ, услуг) и научно-исследовательских, опытно-конструкторских и технологических работ у субъектов МСП в общем ежегодном объеме закупок Общества.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Совет решает следующие задачи: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анализирует практику осуществления закупок Общества в рамках применения действующего законодательства, в том числе исполнения норм Закона 223-ФЗ, Федерального закона от 26.07.2006 № 135-ФЗ «О защите конкуренции» и других нормативных правовых актов, формирует предложения по ее улучшению.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отчеты по принятым жалобам на организацию и проведение закупок (в том числе со стороны представителей субъектов МСП) независимо от права таких субъектов и других участников закупочной деятельности на подачу жалобы в федеральные органы исполнительной власти, наделенные полномочиями рассмотрения жалоб в рамках осуществления Обществом закупочной деятельности в установленные законодательством Российской Федерации сроки.</w:t>
      </w:r>
      <w:proofErr w:type="gramEnd"/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проекта реестра продукции (товаров, работ, услуг), соответственно поставляемых, выполняемых, оказываемых субъектами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МСП по прямым контрактам с Обществом, а также условий и порядка применения такого реестра. 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по формированию рекомендаций по созданию и обеспечению контроля эффективности деятельности системы «одного окна» в структуре Общества для внедрения инновационной (высокотехнологичной) продукции и результатов научно-исследовательских, опытно-конструкторских и технологических работ субъектов МСП, а также обеспечения взаимного трансфера технологий, включая:</w:t>
      </w:r>
    </w:p>
    <w:p w:rsidR="00EC5242" w:rsidRDefault="00EC5242" w:rsidP="00EC524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проекта Положения о порядке внедрения инновационных решений в Обществе;</w:t>
      </w:r>
    </w:p>
    <w:p w:rsidR="00EC5242" w:rsidRDefault="00EC5242" w:rsidP="00EC524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формированию рекомендаций по определению критериев отнесения Обществом товаров, работ, услуг к инновационной продукции и/или высокотехнологичной продукции (на основе критериев отнесения товаров, работ, услуг к инновационной продукции и/или высокотехнологичной продукции, утвержденных уполномоченным федеральным органом исполнительной власти);</w:t>
      </w:r>
    </w:p>
    <w:p w:rsidR="00EC5242" w:rsidRDefault="00EC5242" w:rsidP="00EC524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формированию рекомендаций по разработке Реестра инновационных (высокотехнологичных) товаров, технологий, работ и услуг (на основе критериев отнесения Обществом товаров, работ, услуг к инновационной и/или высокотехнологичной продукции и обеспечивающих достижение целей и выполнение задач ее деятельности);</w:t>
      </w:r>
    </w:p>
    <w:p w:rsidR="00EC5242" w:rsidRDefault="00EC5242" w:rsidP="00EC524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по формированию рекомендаций по разработке Программы обмена и внедрения технологий между Обществом и субъектами МСП;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рекомендации для руководства Общества по созданию системы приоритетов участия субъектов МСП, являющихся участниками Программы партнерства между ПАО «Каббалкэнерго» и субъектами малого и среднего предпринимательства, при проведении Обществом закупок следующими конкурентными способами: запрос предложений, запрос цен, конкурентные переговоры, простая, мелкая закупки.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рекомендации для руководства Общества по повышению эффективности деятельности Общества, в том числе за счет внедрения технических, технологических и организационных инноваций.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предпринимательское сообщество,  некоммерческие организации, общественные объединения и граждан, в том числе через официальный сайт Общества, о целях, задачах, полномочиях и планах Общества в сфере закупок. 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 предложения по подготовке, реализации и анализу исполнения мер и мероприятий, направленных на повышение эффективности закупочной деятельности Общества, увеличение доли закупок инновационной продукции для нужд Общества, в том числе за счет расширения доступа субъектов МСП к закупкам Общества.</w:t>
      </w:r>
    </w:p>
    <w:p w:rsidR="00EC5242" w:rsidRDefault="00EC5242" w:rsidP="00EC524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ежегодные публичные доклады об эффективности закупочной системы Общества и ходе реализации Дорожной карты.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иные мероприятия, направленные на повышение эффективности закупочной деятельности Общества, увеличение доли закупок инновационной продукции для нужд Общества.</w:t>
      </w:r>
    </w:p>
    <w:p w:rsidR="00EC5242" w:rsidRDefault="00EC5242" w:rsidP="00EC52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Полномочия Совета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вынесение на рассмотрение руководства Общества предложений и рекомендаций по подготовке, реализации и анализу исполнения мер и мероприятий, направленных на повышение эффективности закупочной деятельности Общества, увеличение доли закупок инновационной продукции для нужд Общества, в том числе за счет расширения доступа субъектов МСП к закупкам.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заседания Совета представителей власти, деловых кругов, общественности и средств массовой информации.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информации по вопросам компетенции Совета у структурных подразделений Общества и его ДЗО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5242" w:rsidRDefault="00EC5242" w:rsidP="00EC524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Совета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возглавляет председатель.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персональный состав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Совета, председательствует на заседаниях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Совет во взаимоотношениях с внешними по отношению к Обществу структурами.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решения о привлечении на заседание лиц, не являющихся членами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члена Совета.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Совета: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Совета председательствует на заседаниях Совета. 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Совета принимает решения о привлечении на заседание лиц, не являющихся членами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представляет Совет во взаимоотношениях с внешними структурами.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функции члена Совета. 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Совета: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Совета, созывает его заседания, организует ведение протоколов заседаний.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заседаний, ведение всей документации Совета, хранение протоколов заседаний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членам Совета извещения о проведении заседаний (с указанием даты, времени и места), повестки заседаний, опросные листы и материалы, необходимые для рассмотрения включенных в повестку заседания вопросов.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и подписывает протоколы заседаний, направляет копии протокола заседаний Совета всем членам Совета, председателю Совета, заместителю председателя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(при необходимости) и подписывает выписки из протоколов заседаний Совета.</w:t>
      </w:r>
    </w:p>
    <w:p w:rsidR="00EC5242" w:rsidRDefault="00EC5242" w:rsidP="00EC5242">
      <w:pPr>
        <w:pStyle w:val="a3"/>
        <w:tabs>
          <w:tab w:val="left" w:pos="15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tabs>
          <w:tab w:val="left" w:pos="15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tabs>
          <w:tab w:val="left" w:pos="15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Совета, права и обязанности членов Совета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утверждается организационно-распорядительным документом Общества.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включаются работники Общества, представители некоммерческих и общественных объединений, отраслевых научных и образовательных учреждений, органов государственной власти - по согласованию.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членов Совета осуществляется на безвозмездной основе.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заседаниях Совета, активно участвовать в обсуждении рассматриваемых вопросов и выработке решений по ним.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выполнению решений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 поручению Совета его решения.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разглашать без согласования с руководством Совета решения и иную информацию, которая стала им известна в связи с работой в Совете.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имеют право: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заседаниях Совета и голосовать по обсуждаемым вопросам.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повестку дня заседания Совета и по порядку его ведения.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на заседаниях Совета, предлагать для вынесения на голосование вопросы, не входящие в повестку дня заседания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свое мнение по обсуждаемым на заседании Совета вопросам.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на рассмотрение во внеплановом порядке вопросы, требующие безотлагательного решения.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Совета запрашивать информацию от работников Общества, включая дочерние и зависимые общества.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привлечение на заседание лиц, не являющихся членами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ходе выполнения решений Совета.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комиссии, рабочие группы и вносить предложения по кандидатурам экспертов и специалистов в их составы.</w:t>
      </w:r>
    </w:p>
    <w:p w:rsidR="00EC5242" w:rsidRDefault="00EC5242" w:rsidP="00EC5242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состава Совета на основании письменного заявления.</w:t>
      </w:r>
    </w:p>
    <w:p w:rsidR="00EC5242" w:rsidRDefault="00EC5242" w:rsidP="00EC5242">
      <w:pPr>
        <w:pStyle w:val="a3"/>
        <w:tabs>
          <w:tab w:val="left" w:pos="170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ота Совета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на заседании Совета составляет 50% и более от списочного состава Совета.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проводит очередные (плановые) и внеочередные заседания.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заседания проводятся в соответствии с планом работы, но не реже одного раза в полугодие. План работы формируется в соответствии с предложениями членов Совета.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Внеочередные заседания проводятся по срочным вопросам на основании решения председателя Совета, а в его отсутствие – заместителем председателя Совета.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принимает решения простым большинством голосов присутствующих на заседании членов Совета. При равенстве голосов </w:t>
      </w:r>
      <w:r>
        <w:rPr>
          <w:rFonts w:ascii="Times New Roman" w:hAnsi="Times New Roman" w:cs="Times New Roman"/>
          <w:sz w:val="28"/>
          <w:szCs w:val="28"/>
        </w:rPr>
        <w:lastRenderedPageBreak/>
        <w:t>решающим является голос председателя Совета или лица его замещающего. При решении вопросов на заседании Совета каждый член Совета обладает одним голосом. Передача голоса одним членом Совета другому члену не допускается.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оформляются в виде протоколов. Протоколы заседания Совета подписываются председателем Совета или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и ответственным секретарем Совета.</w:t>
      </w:r>
    </w:p>
    <w:p w:rsidR="00EC5242" w:rsidRDefault="00EC5242" w:rsidP="00EC5242">
      <w:pPr>
        <w:pStyle w:val="ConsPlusNormal"/>
        <w:widowControl/>
        <w:numPr>
          <w:ilvl w:val="1"/>
          <w:numId w:val="2"/>
        </w:numPr>
        <w:tabs>
          <w:tab w:val="num" w:pos="-482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вопросов к заседаниям и/или выполнения заданий Совета могут создаваться рабочие группы из числа членов Совета и сторонних лиц. Состав рабочей группы, а также круг рассматриваемых вопросов определяется председателем Совета.</w:t>
      </w:r>
    </w:p>
    <w:p w:rsidR="00EC5242" w:rsidRDefault="00EC5242" w:rsidP="00EC5242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242" w:rsidRDefault="00EC5242" w:rsidP="00E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директор </w:t>
      </w:r>
    </w:p>
    <w:p w:rsidR="00EC5242" w:rsidRDefault="00EC5242" w:rsidP="00EC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ПАО «Каббалкэнерго»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А.И. Докшукин</w:t>
      </w:r>
    </w:p>
    <w:p w:rsidR="00EC5242" w:rsidRDefault="00EC5242" w:rsidP="00EC5242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1825" w:rsidRDefault="00DB1825" w:rsidP="00EC5242">
      <w:pPr>
        <w:spacing w:line="240" w:lineRule="auto"/>
      </w:pPr>
    </w:p>
    <w:sectPr w:rsidR="00DB1825" w:rsidSect="00EC524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CFE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074C2F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DE6B99"/>
    <w:multiLevelType w:val="hybridMultilevel"/>
    <w:tmpl w:val="3FFE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52E05"/>
    <w:multiLevelType w:val="multilevel"/>
    <w:tmpl w:val="F45AD08A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42"/>
    <w:rsid w:val="00DB1825"/>
    <w:rsid w:val="00E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42"/>
    <w:pPr>
      <w:spacing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42"/>
    <w:pPr>
      <w:ind w:left="720"/>
      <w:contextualSpacing/>
    </w:pPr>
  </w:style>
  <w:style w:type="paragraph" w:customStyle="1" w:styleId="ConsPlusNormal">
    <w:name w:val="ConsPlusNormal"/>
    <w:rsid w:val="00EC524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C5242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42"/>
    <w:pPr>
      <w:spacing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42"/>
    <w:pPr>
      <w:ind w:left="720"/>
      <w:contextualSpacing/>
    </w:pPr>
  </w:style>
  <w:style w:type="paragraph" w:customStyle="1" w:styleId="ConsPlusNormal">
    <w:name w:val="ConsPlusNormal"/>
    <w:rsid w:val="00EC524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C5242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Гедгафова</dc:creator>
  <cp:lastModifiedBy>Гедгафова</cp:lastModifiedBy>
  <cp:revision>1</cp:revision>
  <dcterms:created xsi:type="dcterms:W3CDTF">2015-12-29T09:15:00Z</dcterms:created>
  <dcterms:modified xsi:type="dcterms:W3CDTF">2015-12-29T09:19:00Z</dcterms:modified>
</cp:coreProperties>
</file>